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4930" w14:textId="77777777" w:rsidR="00392911" w:rsidRPr="00871B32" w:rsidRDefault="00392911" w:rsidP="00ED4E55">
      <w:pPr>
        <w:tabs>
          <w:tab w:val="left" w:pos="5529"/>
        </w:tabs>
        <w:ind w:left="5529"/>
        <w:jc w:val="right"/>
        <w:rPr>
          <w:rFonts w:ascii="Arial" w:hAnsi="Arial" w:cs="Arial"/>
        </w:rPr>
      </w:pPr>
    </w:p>
    <w:p w14:paraId="59A50689" w14:textId="77777777" w:rsidR="00203015" w:rsidRPr="00871B32" w:rsidRDefault="00203015" w:rsidP="00203015">
      <w:pPr>
        <w:suppressAutoHyphens/>
        <w:jc w:val="right"/>
        <w:rPr>
          <w:rFonts w:ascii="Arial" w:hAnsi="Arial" w:cs="Arial"/>
          <w:sz w:val="20"/>
          <w:szCs w:val="20"/>
          <w:lang w:val="fr-FR"/>
        </w:rPr>
      </w:pPr>
      <w:r w:rsidRPr="00871B32">
        <w:rPr>
          <w:rFonts w:ascii="Arial" w:hAnsi="Arial" w:cs="Arial"/>
          <w:sz w:val="20"/>
          <w:szCs w:val="20"/>
          <w:lang w:val="fr-FR"/>
        </w:rPr>
        <w:t>Communiqué de presse</w:t>
      </w:r>
    </w:p>
    <w:p w14:paraId="13B96E29" w14:textId="6BB67B54" w:rsidR="00ED4E55" w:rsidRPr="00871B32" w:rsidRDefault="00ED4E55" w:rsidP="00961669">
      <w:pPr>
        <w:rPr>
          <w:rFonts w:ascii="Arial" w:hAnsi="Arial" w:cs="Arial"/>
          <w:sz w:val="20"/>
          <w:szCs w:val="20"/>
          <w:lang w:val="fr-FR"/>
        </w:rPr>
      </w:pPr>
    </w:p>
    <w:p w14:paraId="6A6B67B1" w14:textId="77777777" w:rsidR="00203015" w:rsidRPr="00871B32" w:rsidRDefault="00203015" w:rsidP="00203015">
      <w:pPr>
        <w:suppressAutoHyphens/>
        <w:rPr>
          <w:rFonts w:ascii="Arial" w:hAnsi="Arial" w:cs="Arial"/>
          <w:sz w:val="20"/>
          <w:szCs w:val="20"/>
          <w:lang w:val="fr-FR"/>
        </w:rPr>
      </w:pPr>
    </w:p>
    <w:p w14:paraId="0D63E0EB" w14:textId="77777777" w:rsidR="008C3DB7" w:rsidRPr="00871B32" w:rsidRDefault="008C3DB7" w:rsidP="008C3DB7">
      <w:pPr>
        <w:rPr>
          <w:rFonts w:ascii="Arial" w:hAnsi="Arial" w:cs="Arial"/>
          <w:b/>
          <w:bCs/>
          <w:sz w:val="24"/>
          <w:lang w:val="fr-CH"/>
        </w:rPr>
      </w:pPr>
      <w:r w:rsidRPr="00871B32">
        <w:rPr>
          <w:rFonts w:ascii="Arial" w:hAnsi="Arial" w:cs="Arial"/>
          <w:b/>
          <w:bCs/>
          <w:sz w:val="24"/>
          <w:lang w:val="fr-CH"/>
        </w:rPr>
        <w:t>L’ASSH décerne le Prix de la Relève 2021 à deux jeunes chercheuses et un jeune chercheur</w:t>
      </w:r>
    </w:p>
    <w:p w14:paraId="08C19369" w14:textId="77777777" w:rsidR="00203015" w:rsidRPr="00871B32" w:rsidRDefault="00203015" w:rsidP="00203015">
      <w:pPr>
        <w:suppressAutoHyphens/>
        <w:rPr>
          <w:rFonts w:ascii="Arial" w:hAnsi="Arial" w:cs="Arial"/>
          <w:b/>
          <w:bCs/>
          <w:sz w:val="20"/>
          <w:szCs w:val="20"/>
          <w:lang w:val="fr-CH"/>
        </w:rPr>
      </w:pPr>
    </w:p>
    <w:p w14:paraId="44ECBD98"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Berne, 28.05.2021 – </w:t>
      </w:r>
      <w:r w:rsidRPr="00871B32">
        <w:rPr>
          <w:rFonts w:ascii="Arial" w:hAnsi="Arial" w:cs="Arial"/>
          <w:b/>
          <w:bCs/>
          <w:sz w:val="20"/>
          <w:szCs w:val="20"/>
          <w:lang w:val="fr-CH"/>
        </w:rPr>
        <w:t xml:space="preserve">L’Académie suisse des sciences humaines et sociales (ASSH) décerne le Prix de la Relève 2021 à Edda </w:t>
      </w:r>
      <w:proofErr w:type="spellStart"/>
      <w:r w:rsidRPr="00871B32">
        <w:rPr>
          <w:rFonts w:ascii="Arial" w:hAnsi="Arial" w:cs="Arial"/>
          <w:b/>
          <w:bCs/>
          <w:sz w:val="20"/>
          <w:szCs w:val="20"/>
          <w:lang w:val="fr-CH"/>
        </w:rPr>
        <w:t>Humprecht</w:t>
      </w:r>
      <w:proofErr w:type="spellEnd"/>
      <w:r w:rsidRPr="00871B32">
        <w:rPr>
          <w:rFonts w:ascii="Arial" w:hAnsi="Arial" w:cs="Arial"/>
          <w:b/>
          <w:bCs/>
          <w:sz w:val="20"/>
          <w:szCs w:val="20"/>
          <w:lang w:val="fr-CH"/>
        </w:rPr>
        <w:t xml:space="preserve"> (or, Université de Zurich), Odile </w:t>
      </w:r>
      <w:proofErr w:type="spellStart"/>
      <w:r w:rsidRPr="00871B32">
        <w:rPr>
          <w:rFonts w:ascii="Arial" w:hAnsi="Arial" w:cs="Arial"/>
          <w:b/>
          <w:bCs/>
          <w:sz w:val="20"/>
          <w:szCs w:val="20"/>
          <w:lang w:val="fr-CH"/>
        </w:rPr>
        <w:t>Ammann</w:t>
      </w:r>
      <w:proofErr w:type="spellEnd"/>
      <w:r w:rsidRPr="00871B32">
        <w:rPr>
          <w:rFonts w:ascii="Arial" w:hAnsi="Arial" w:cs="Arial"/>
          <w:b/>
          <w:bCs/>
          <w:sz w:val="20"/>
          <w:szCs w:val="20"/>
          <w:lang w:val="fr-CH"/>
        </w:rPr>
        <w:t xml:space="preserve"> (argent, Université de Zurich) et Damian Clavel (bronze, Université d’Oxford). En utilisant les méthodes des sciences des médias, interdisciplinaires et des sciences historiques, les trois </w:t>
      </w:r>
      <w:proofErr w:type="spellStart"/>
      <w:r w:rsidRPr="00871B32">
        <w:rPr>
          <w:rFonts w:ascii="Arial" w:hAnsi="Arial" w:cs="Arial"/>
          <w:b/>
          <w:bCs/>
          <w:sz w:val="20"/>
          <w:szCs w:val="20"/>
          <w:lang w:val="fr-CH"/>
        </w:rPr>
        <w:t>lauréat·e·s</w:t>
      </w:r>
      <w:proofErr w:type="spellEnd"/>
      <w:r w:rsidRPr="00871B32">
        <w:rPr>
          <w:rFonts w:ascii="Arial" w:hAnsi="Arial" w:cs="Arial"/>
          <w:b/>
          <w:bCs/>
          <w:sz w:val="20"/>
          <w:szCs w:val="20"/>
          <w:lang w:val="fr-CH"/>
        </w:rPr>
        <w:t xml:space="preserve"> ont fait la lumière sur des questions d’actualité : la désinformation en ligne, la pratique des « passeports dorés » et la construction de récits historiques.</w:t>
      </w:r>
    </w:p>
    <w:p w14:paraId="493238E6" w14:textId="77777777" w:rsidR="008C3DB7" w:rsidRPr="00871B32" w:rsidRDefault="008C3DB7" w:rsidP="008C3DB7">
      <w:pPr>
        <w:rPr>
          <w:rFonts w:ascii="Arial" w:hAnsi="Arial" w:cs="Arial"/>
          <w:sz w:val="20"/>
          <w:szCs w:val="20"/>
          <w:lang w:val="fr-CH"/>
        </w:rPr>
      </w:pPr>
    </w:p>
    <w:p w14:paraId="26BDB0BD"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L’ASSH décerne annuellement un prix à de jeunes chercheuses et chercheurs de ou en Suisse pour des articles scientifiques exceptionnels dans le domaine des sciences humaines et sociales. La remise du prix, d’une valeur totale de 18 000 francs, au lieu lors de son Assemblée annuelle au printemps. En 2021, la lauréate de la catégorie « or » est la chercheuse en sciences des médias Edda </w:t>
      </w:r>
      <w:proofErr w:type="spellStart"/>
      <w:r w:rsidRPr="00871B32">
        <w:rPr>
          <w:rFonts w:ascii="Arial" w:hAnsi="Arial" w:cs="Arial"/>
          <w:sz w:val="20"/>
          <w:szCs w:val="20"/>
          <w:lang w:val="fr-CH"/>
        </w:rPr>
        <w:t>Humprecht</w:t>
      </w:r>
      <w:proofErr w:type="spellEnd"/>
      <w:r w:rsidRPr="00871B32">
        <w:rPr>
          <w:rFonts w:ascii="Arial" w:hAnsi="Arial" w:cs="Arial"/>
          <w:sz w:val="20"/>
          <w:szCs w:val="20"/>
          <w:lang w:val="fr-CH"/>
        </w:rPr>
        <w:t xml:space="preserve">. Elle est maître-assistante au « Institut </w:t>
      </w:r>
      <w:proofErr w:type="spellStart"/>
      <w:r w:rsidRPr="00871B32">
        <w:rPr>
          <w:rFonts w:ascii="Arial" w:hAnsi="Arial" w:cs="Arial"/>
          <w:sz w:val="20"/>
          <w:szCs w:val="20"/>
          <w:lang w:val="fr-CH"/>
        </w:rPr>
        <w:t>für</w:t>
      </w:r>
      <w:proofErr w:type="spellEnd"/>
      <w:r w:rsidRPr="00871B32">
        <w:rPr>
          <w:rFonts w:ascii="Arial" w:hAnsi="Arial" w:cs="Arial"/>
          <w:sz w:val="20"/>
          <w:szCs w:val="20"/>
          <w:lang w:val="fr-CH"/>
        </w:rPr>
        <w:t xml:space="preserve"> </w:t>
      </w:r>
      <w:proofErr w:type="spellStart"/>
      <w:r w:rsidRPr="00871B32">
        <w:rPr>
          <w:rFonts w:ascii="Arial" w:hAnsi="Arial" w:cs="Arial"/>
          <w:sz w:val="20"/>
          <w:szCs w:val="20"/>
          <w:lang w:val="fr-CH"/>
        </w:rPr>
        <w:t>Kommunikationswissenschaft</w:t>
      </w:r>
      <w:proofErr w:type="spellEnd"/>
      <w:r w:rsidRPr="00871B32">
        <w:rPr>
          <w:rFonts w:ascii="Arial" w:hAnsi="Arial" w:cs="Arial"/>
          <w:sz w:val="20"/>
          <w:szCs w:val="20"/>
          <w:lang w:val="fr-CH"/>
        </w:rPr>
        <w:t xml:space="preserve"> </w:t>
      </w:r>
      <w:proofErr w:type="spellStart"/>
      <w:r w:rsidRPr="00871B32">
        <w:rPr>
          <w:rFonts w:ascii="Arial" w:hAnsi="Arial" w:cs="Arial"/>
          <w:sz w:val="20"/>
          <w:szCs w:val="20"/>
          <w:lang w:val="fr-CH"/>
        </w:rPr>
        <w:t>und</w:t>
      </w:r>
      <w:proofErr w:type="spellEnd"/>
      <w:r w:rsidRPr="00871B32">
        <w:rPr>
          <w:rFonts w:ascii="Arial" w:hAnsi="Arial" w:cs="Arial"/>
          <w:sz w:val="20"/>
          <w:szCs w:val="20"/>
          <w:lang w:val="fr-CH"/>
        </w:rPr>
        <w:t xml:space="preserve"> </w:t>
      </w:r>
      <w:proofErr w:type="spellStart"/>
      <w:r w:rsidRPr="00871B32">
        <w:rPr>
          <w:rFonts w:ascii="Arial" w:hAnsi="Arial" w:cs="Arial"/>
          <w:sz w:val="20"/>
          <w:szCs w:val="20"/>
          <w:lang w:val="fr-CH"/>
        </w:rPr>
        <w:t>Medienforschung</w:t>
      </w:r>
      <w:proofErr w:type="spellEnd"/>
      <w:r w:rsidRPr="00871B32">
        <w:rPr>
          <w:rFonts w:ascii="Arial" w:hAnsi="Arial" w:cs="Arial"/>
          <w:sz w:val="20"/>
          <w:szCs w:val="20"/>
          <w:lang w:val="fr-CH"/>
        </w:rPr>
        <w:t xml:space="preserve"> » (IKMZ) de l’Université de Zurich et mène des recherches sur la communication en ligne et le changement numérique. La lauréate de la catégorie « argent » est Odile </w:t>
      </w:r>
      <w:proofErr w:type="spellStart"/>
      <w:r w:rsidRPr="00871B32">
        <w:rPr>
          <w:rFonts w:ascii="Arial" w:hAnsi="Arial" w:cs="Arial"/>
          <w:sz w:val="20"/>
          <w:szCs w:val="20"/>
          <w:lang w:val="fr-CH"/>
        </w:rPr>
        <w:t>Ammann</w:t>
      </w:r>
      <w:proofErr w:type="spellEnd"/>
      <w:r w:rsidRPr="00871B32">
        <w:rPr>
          <w:rFonts w:ascii="Arial" w:hAnsi="Arial" w:cs="Arial"/>
          <w:sz w:val="20"/>
          <w:szCs w:val="20"/>
          <w:lang w:val="fr-CH"/>
        </w:rPr>
        <w:t xml:space="preserve">, juriste. Également affiliée à l’Université de Zurich, elle mène des recherches sur le droit public international, le droit constitutionnel comparé, le droit européen et la théorie du droit. Le prix « bronze » est quant à lui attribué à Damian Clavel, historien spécialiste des marchés financiers européens et du colonialisme. Il mène des recherches au « Centre for </w:t>
      </w:r>
      <w:proofErr w:type="spellStart"/>
      <w:r w:rsidRPr="00871B32">
        <w:rPr>
          <w:rFonts w:ascii="Arial" w:hAnsi="Arial" w:cs="Arial"/>
          <w:sz w:val="20"/>
          <w:szCs w:val="20"/>
          <w:lang w:val="fr-CH"/>
        </w:rPr>
        <w:t>Economic</w:t>
      </w:r>
      <w:proofErr w:type="spellEnd"/>
      <w:r w:rsidRPr="00871B32">
        <w:rPr>
          <w:rFonts w:ascii="Arial" w:hAnsi="Arial" w:cs="Arial"/>
          <w:sz w:val="20"/>
          <w:szCs w:val="20"/>
          <w:lang w:val="fr-CH"/>
        </w:rPr>
        <w:t xml:space="preserve"> and Social </w:t>
      </w:r>
      <w:proofErr w:type="spellStart"/>
      <w:r w:rsidRPr="00871B32">
        <w:rPr>
          <w:rFonts w:ascii="Arial" w:hAnsi="Arial" w:cs="Arial"/>
          <w:sz w:val="20"/>
          <w:szCs w:val="20"/>
          <w:lang w:val="fr-CH"/>
        </w:rPr>
        <w:t>History</w:t>
      </w:r>
      <w:proofErr w:type="spellEnd"/>
      <w:r w:rsidRPr="00871B32">
        <w:rPr>
          <w:rFonts w:ascii="Arial" w:hAnsi="Arial" w:cs="Arial"/>
          <w:sz w:val="20"/>
          <w:szCs w:val="20"/>
          <w:lang w:val="fr-CH"/>
        </w:rPr>
        <w:t> » d’Oxford.</w:t>
      </w:r>
    </w:p>
    <w:p w14:paraId="56320CB0" w14:textId="77777777" w:rsidR="008C3DB7" w:rsidRPr="00871B32" w:rsidRDefault="008C3DB7" w:rsidP="008C3DB7">
      <w:pPr>
        <w:rPr>
          <w:rFonts w:ascii="Arial" w:hAnsi="Arial" w:cs="Arial"/>
          <w:sz w:val="20"/>
          <w:szCs w:val="20"/>
          <w:lang w:val="fr-CH"/>
        </w:rPr>
      </w:pPr>
    </w:p>
    <w:p w14:paraId="591DA775" w14:textId="77777777" w:rsidR="008C3DB7" w:rsidRPr="00871B32" w:rsidRDefault="008C3DB7" w:rsidP="008C3DB7">
      <w:pPr>
        <w:rPr>
          <w:rFonts w:ascii="Arial" w:hAnsi="Arial" w:cs="Arial"/>
          <w:b/>
          <w:bCs/>
          <w:sz w:val="20"/>
          <w:szCs w:val="20"/>
          <w:lang w:val="fr-CH"/>
        </w:rPr>
      </w:pPr>
      <w:r w:rsidRPr="00871B32">
        <w:rPr>
          <w:rFonts w:ascii="Arial" w:hAnsi="Arial" w:cs="Arial"/>
          <w:b/>
          <w:bCs/>
          <w:sz w:val="20"/>
          <w:szCs w:val="20"/>
          <w:lang w:val="fr-CH"/>
        </w:rPr>
        <w:t>Or : À l’échelle des pays, quels sont les facteurs influençant l’ampleur de la désinformation en ligne ?</w:t>
      </w:r>
    </w:p>
    <w:p w14:paraId="61AE2671" w14:textId="77777777" w:rsidR="008C3DB7" w:rsidRPr="00871B32" w:rsidRDefault="008C3DB7" w:rsidP="008C3DB7">
      <w:pPr>
        <w:rPr>
          <w:rFonts w:ascii="Arial" w:hAnsi="Arial" w:cs="Arial"/>
          <w:b/>
          <w:bCs/>
          <w:sz w:val="20"/>
          <w:szCs w:val="20"/>
          <w:lang w:val="fr-CH"/>
        </w:rPr>
      </w:pPr>
    </w:p>
    <w:p w14:paraId="7105AF50"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Edda </w:t>
      </w:r>
      <w:proofErr w:type="spellStart"/>
      <w:r w:rsidRPr="00871B32">
        <w:rPr>
          <w:rFonts w:ascii="Arial" w:hAnsi="Arial" w:cs="Arial"/>
          <w:sz w:val="20"/>
          <w:szCs w:val="20"/>
          <w:lang w:val="fr-CH"/>
        </w:rPr>
        <w:t>Humprecht</w:t>
      </w:r>
      <w:proofErr w:type="spellEnd"/>
      <w:r w:rsidRPr="00871B32">
        <w:rPr>
          <w:rFonts w:ascii="Arial" w:hAnsi="Arial" w:cs="Arial"/>
          <w:sz w:val="20"/>
          <w:szCs w:val="20"/>
          <w:lang w:val="fr-CH"/>
        </w:rPr>
        <w:t xml:space="preserve"> et ses collègues Frank </w:t>
      </w:r>
      <w:proofErr w:type="spellStart"/>
      <w:r w:rsidRPr="00871B32">
        <w:rPr>
          <w:rFonts w:ascii="Arial" w:hAnsi="Arial" w:cs="Arial"/>
          <w:sz w:val="20"/>
          <w:szCs w:val="20"/>
          <w:lang w:val="fr-CH"/>
        </w:rPr>
        <w:t>Esser</w:t>
      </w:r>
      <w:proofErr w:type="spellEnd"/>
      <w:r w:rsidRPr="00871B32">
        <w:rPr>
          <w:rFonts w:ascii="Arial" w:hAnsi="Arial" w:cs="Arial"/>
          <w:sz w:val="20"/>
          <w:szCs w:val="20"/>
          <w:lang w:val="fr-CH"/>
        </w:rPr>
        <w:t xml:space="preserve"> et Peter van </w:t>
      </w:r>
      <w:proofErr w:type="spellStart"/>
      <w:r w:rsidRPr="00871B32">
        <w:rPr>
          <w:rFonts w:ascii="Arial" w:hAnsi="Arial" w:cs="Arial"/>
          <w:sz w:val="20"/>
          <w:szCs w:val="20"/>
          <w:lang w:val="fr-CH"/>
        </w:rPr>
        <w:t>Aelst</w:t>
      </w:r>
      <w:proofErr w:type="spellEnd"/>
      <w:r w:rsidRPr="00871B32">
        <w:rPr>
          <w:rFonts w:ascii="Arial" w:hAnsi="Arial" w:cs="Arial"/>
          <w:sz w:val="20"/>
          <w:szCs w:val="20"/>
          <w:lang w:val="fr-CH"/>
        </w:rPr>
        <w:t xml:space="preserve"> thématisent, dans l’article ayant remporté le Prix Relève « or », un grand défi de notre époque : la désinformation en ligne. </w:t>
      </w:r>
    </w:p>
    <w:p w14:paraId="02239058" w14:textId="77777777" w:rsidR="008C3DB7" w:rsidRPr="00871B32" w:rsidRDefault="008C3DB7" w:rsidP="008C3DB7">
      <w:pPr>
        <w:rPr>
          <w:rFonts w:ascii="Arial" w:hAnsi="Arial" w:cs="Arial"/>
          <w:sz w:val="20"/>
          <w:szCs w:val="20"/>
          <w:lang w:val="fr-CH"/>
        </w:rPr>
      </w:pPr>
    </w:p>
    <w:p w14:paraId="2965323F"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Outre la diffusion délibérée de fausses informations, ils entendent </w:t>
      </w:r>
      <w:proofErr w:type="spellStart"/>
      <w:r w:rsidRPr="00871B32">
        <w:rPr>
          <w:rFonts w:ascii="Arial" w:hAnsi="Arial" w:cs="Arial"/>
          <w:sz w:val="20"/>
          <w:szCs w:val="20"/>
          <w:lang w:val="fr-CH"/>
        </w:rPr>
        <w:t>par là</w:t>
      </w:r>
      <w:proofErr w:type="spellEnd"/>
      <w:r w:rsidRPr="00871B32">
        <w:rPr>
          <w:rFonts w:ascii="Arial" w:hAnsi="Arial" w:cs="Arial"/>
          <w:sz w:val="20"/>
          <w:szCs w:val="20"/>
          <w:lang w:val="fr-CH"/>
        </w:rPr>
        <w:t xml:space="preserve"> l’absence de contexte, des opinions non éclairées et partagées publiquement, ainsi que des commentaires manipulés. Les médias sociaux, dont les algorithmes favorisent les contenus qui suscitent l’émotion et attirent l’attention, sont particulièrement sensibles à la propagation de la désinformation. Des études menées aux États-Unis et en Europe montrent que les informations diffusées sur Twitter et Facebook sont sélectives et que certains groupes sont visibles de manière disproportionnée. Les « social bots » augmentent la portée des contenus désinformateurs et donc la pollution de l’information dans l’espace en ligne.</w:t>
      </w:r>
    </w:p>
    <w:p w14:paraId="2A457029" w14:textId="77777777" w:rsidR="008C3DB7" w:rsidRPr="00871B32" w:rsidRDefault="008C3DB7" w:rsidP="008C3DB7">
      <w:pPr>
        <w:rPr>
          <w:rFonts w:ascii="Arial" w:hAnsi="Arial" w:cs="Arial"/>
          <w:sz w:val="20"/>
          <w:szCs w:val="20"/>
          <w:lang w:val="fr-CH"/>
        </w:rPr>
      </w:pPr>
    </w:p>
    <w:p w14:paraId="44EC9422"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E. </w:t>
      </w:r>
      <w:proofErr w:type="spellStart"/>
      <w:r w:rsidRPr="00871B32">
        <w:rPr>
          <w:rFonts w:ascii="Arial" w:hAnsi="Arial" w:cs="Arial"/>
          <w:sz w:val="20"/>
          <w:szCs w:val="20"/>
          <w:lang w:val="fr-CH"/>
        </w:rPr>
        <w:t>Humprecht</w:t>
      </w:r>
      <w:proofErr w:type="spellEnd"/>
      <w:r w:rsidRPr="00871B32">
        <w:rPr>
          <w:rFonts w:ascii="Arial" w:hAnsi="Arial" w:cs="Arial"/>
          <w:sz w:val="20"/>
          <w:szCs w:val="20"/>
          <w:lang w:val="fr-CH"/>
        </w:rPr>
        <w:t xml:space="preserve"> écrit que de plus en plus de personnes utilisent les médias sociaux comme principale source d’information. Mais c’est précisément là qu’ils échouent souvent à reconnaître les contenus désinformateurs. Néanmoins, ces contenus ne semblent pas être également répandus partout, comme le montrent les données de l’enquête. Pourquoi les habitants de certains pays sont-ils moins sensibles à la diffusion et à la consommation de la désinformation ? Pour répondre à cette question, l’auteur a comparé 18 pays en fonction de sept facteurs : polarisation, communication populiste, confiance dans les médias, fragmentation de l’audience des informations, distribution et utilisation des médias publics, taille du marché des médias et utilisation des médias sociaux. L’analyse quantitative confirme que ces facteurs influencent la résilience d’un pays à la désinformation. Les auteur·e·</w:t>
      </w:r>
      <w:proofErr w:type="spellStart"/>
      <w:r w:rsidRPr="00871B32">
        <w:rPr>
          <w:rFonts w:ascii="Arial" w:hAnsi="Arial" w:cs="Arial"/>
          <w:sz w:val="20"/>
          <w:szCs w:val="20"/>
          <w:lang w:val="fr-CH"/>
        </w:rPr>
        <w:t>s identifient</w:t>
      </w:r>
      <w:proofErr w:type="spellEnd"/>
      <w:r w:rsidRPr="00871B32">
        <w:rPr>
          <w:rFonts w:ascii="Arial" w:hAnsi="Arial" w:cs="Arial"/>
          <w:sz w:val="20"/>
          <w:szCs w:val="20"/>
          <w:lang w:val="fr-CH"/>
        </w:rPr>
        <w:t xml:space="preserve"> également trois groupes de pays qui partagent des cadres et des niveaux de résilience similaires.</w:t>
      </w:r>
    </w:p>
    <w:p w14:paraId="42FBC1E1" w14:textId="77777777" w:rsidR="008C3DB7" w:rsidRPr="00871B32" w:rsidRDefault="008C3DB7" w:rsidP="008C3DB7">
      <w:pPr>
        <w:rPr>
          <w:rFonts w:ascii="Arial" w:hAnsi="Arial" w:cs="Arial"/>
          <w:sz w:val="20"/>
          <w:szCs w:val="20"/>
          <w:lang w:val="fr-CH"/>
        </w:rPr>
      </w:pPr>
    </w:p>
    <w:p w14:paraId="4F49B34C"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L’article d’E. </w:t>
      </w:r>
      <w:proofErr w:type="spellStart"/>
      <w:r w:rsidRPr="00871B32">
        <w:rPr>
          <w:rFonts w:ascii="Arial" w:hAnsi="Arial" w:cs="Arial"/>
          <w:sz w:val="20"/>
          <w:szCs w:val="20"/>
          <w:lang w:val="fr-CH"/>
        </w:rPr>
        <w:t>Humprecht</w:t>
      </w:r>
      <w:proofErr w:type="spellEnd"/>
      <w:r w:rsidRPr="00871B32">
        <w:rPr>
          <w:rFonts w:ascii="Arial" w:hAnsi="Arial" w:cs="Arial"/>
          <w:sz w:val="20"/>
          <w:szCs w:val="20"/>
          <w:lang w:val="fr-CH"/>
        </w:rPr>
        <w:t xml:space="preserve"> et de ses collègues contribue à la compréhension des conditions qui rendent un pays résilient à l’émergence et à la propagation de la désinformation en ligne. Il apporte « des réponses claires aux défis théoriques et méthodologiques actuels... d’un débat d’actualité », selon le jury du Prix de la Relève. Il est informatif et offre « un grand potentiel pour la réalisation de recherches complémentaires ».</w:t>
      </w:r>
    </w:p>
    <w:p w14:paraId="59704D4A" w14:textId="77777777" w:rsidR="008C3DB7" w:rsidRPr="00871B32" w:rsidRDefault="008C3DB7" w:rsidP="008C3DB7">
      <w:pPr>
        <w:rPr>
          <w:rFonts w:ascii="Arial" w:hAnsi="Arial" w:cs="Arial"/>
          <w:b/>
          <w:bCs/>
          <w:sz w:val="20"/>
          <w:szCs w:val="20"/>
          <w:lang w:val="fr-CH"/>
        </w:rPr>
      </w:pPr>
    </w:p>
    <w:p w14:paraId="4451F230" w14:textId="77777777" w:rsidR="008C3DB7" w:rsidRPr="00871B32" w:rsidRDefault="008C3DB7" w:rsidP="008C3DB7">
      <w:pPr>
        <w:rPr>
          <w:rFonts w:ascii="Arial" w:hAnsi="Arial" w:cs="Arial"/>
          <w:b/>
          <w:bCs/>
          <w:sz w:val="20"/>
          <w:szCs w:val="20"/>
          <w:lang w:val="fr-CH"/>
        </w:rPr>
      </w:pPr>
      <w:r w:rsidRPr="00871B32">
        <w:rPr>
          <w:rFonts w:ascii="Arial" w:hAnsi="Arial" w:cs="Arial"/>
          <w:b/>
          <w:bCs/>
          <w:sz w:val="20"/>
          <w:szCs w:val="20"/>
          <w:lang w:val="fr-CH"/>
        </w:rPr>
        <w:t xml:space="preserve">Argent : Comment les « passeports dorés » sont-ils légitimés ? </w:t>
      </w:r>
    </w:p>
    <w:p w14:paraId="16C50145" w14:textId="77777777" w:rsidR="008C3DB7" w:rsidRPr="00871B32" w:rsidRDefault="008C3DB7" w:rsidP="008C3DB7">
      <w:pPr>
        <w:rPr>
          <w:rFonts w:ascii="Arial" w:hAnsi="Arial" w:cs="Arial"/>
          <w:b/>
          <w:bCs/>
          <w:sz w:val="20"/>
          <w:szCs w:val="20"/>
          <w:lang w:val="fr-CH"/>
        </w:rPr>
      </w:pPr>
      <w:r w:rsidRPr="00871B32">
        <w:rPr>
          <w:rFonts w:ascii="Arial" w:hAnsi="Arial" w:cs="Arial"/>
          <w:sz w:val="20"/>
          <w:szCs w:val="20"/>
          <w:lang w:val="fr-CH"/>
        </w:rPr>
        <w:t xml:space="preserve">La contribution de la lauréate « argent » Odile </w:t>
      </w:r>
      <w:proofErr w:type="spellStart"/>
      <w:r w:rsidRPr="00871B32">
        <w:rPr>
          <w:rFonts w:ascii="Arial" w:hAnsi="Arial" w:cs="Arial"/>
          <w:sz w:val="20"/>
          <w:szCs w:val="20"/>
          <w:lang w:val="fr-CH"/>
        </w:rPr>
        <w:t>Ammann</w:t>
      </w:r>
      <w:proofErr w:type="spellEnd"/>
      <w:r w:rsidRPr="00871B32">
        <w:rPr>
          <w:rFonts w:ascii="Arial" w:hAnsi="Arial" w:cs="Arial"/>
          <w:sz w:val="20"/>
          <w:szCs w:val="20"/>
          <w:lang w:val="fr-CH"/>
        </w:rPr>
        <w:t xml:space="preserve"> aborde la question de la citoyenneté par investissement, mieux connue sous le nom de « passeports dorés ». Des pays tels que Malte et Chypre accordent la citoyenneté à des personnes en échange d’un paiement ou d’un investissement, éliminant en grande partie les critères normaux de citoyenneté. Dans son essai, </w:t>
      </w:r>
      <w:proofErr w:type="spellStart"/>
      <w:r w:rsidRPr="00871B32">
        <w:rPr>
          <w:rFonts w:ascii="Arial" w:hAnsi="Arial" w:cs="Arial"/>
          <w:sz w:val="20"/>
          <w:szCs w:val="20"/>
          <w:lang w:val="fr-CH"/>
        </w:rPr>
        <w:t>Ammann</w:t>
      </w:r>
      <w:proofErr w:type="spellEnd"/>
      <w:r w:rsidRPr="00871B32">
        <w:rPr>
          <w:rFonts w:ascii="Arial" w:hAnsi="Arial" w:cs="Arial"/>
          <w:sz w:val="20"/>
          <w:szCs w:val="20"/>
          <w:lang w:val="fr-CH"/>
        </w:rPr>
        <w:t xml:space="preserve"> examine les modèles d’arguments utilisés par les États, les individus et les sociétés de conseil pour justifier cette pratique controversée. Elle constate que les « arguments méritocratiques » sont souvent utilisés. Dans une société méritocratique, l’idéal est que tout le monde ait les mêmes chances, indépendamment du sexe, de la couleur de la peau ou du milieu social. La position qu’une personne occupe dans la société ne dépend donc que du mérite personnel, qui est déterminé par les capacités et les efforts individuels. Comme tout le monde a les mêmes conditions de départ, au final, chacun obtient exactement ce qu’il mérite.  </w:t>
      </w:r>
    </w:p>
    <w:p w14:paraId="1ECE61C6" w14:textId="77777777" w:rsidR="008C3DB7" w:rsidRPr="00871B32" w:rsidRDefault="008C3DB7" w:rsidP="008C3DB7">
      <w:pPr>
        <w:rPr>
          <w:rFonts w:ascii="Arial" w:hAnsi="Arial" w:cs="Arial"/>
          <w:sz w:val="20"/>
          <w:szCs w:val="20"/>
          <w:lang w:val="fr-CH"/>
        </w:rPr>
      </w:pPr>
    </w:p>
    <w:p w14:paraId="6E89BB20"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Dans l’argumentation en faveur des passeports dorés, la richesse est considérée comme un signe de mérite, a déclaré O. </w:t>
      </w:r>
      <w:proofErr w:type="spellStart"/>
      <w:r w:rsidRPr="00871B32">
        <w:rPr>
          <w:rFonts w:ascii="Arial" w:hAnsi="Arial" w:cs="Arial"/>
          <w:sz w:val="20"/>
          <w:szCs w:val="20"/>
          <w:lang w:val="fr-CH"/>
        </w:rPr>
        <w:t>Ammann</w:t>
      </w:r>
      <w:proofErr w:type="spellEnd"/>
      <w:r w:rsidRPr="00871B32">
        <w:rPr>
          <w:rFonts w:ascii="Arial" w:hAnsi="Arial" w:cs="Arial"/>
          <w:sz w:val="20"/>
          <w:szCs w:val="20"/>
          <w:lang w:val="fr-CH"/>
        </w:rPr>
        <w:t xml:space="preserve">. On suppose que les personnes aisées sont dignes de confiance et s’identifient au pays de destination. Cette situation est problématique pour plusieurs raisons, déclare O. </w:t>
      </w:r>
      <w:proofErr w:type="spellStart"/>
      <w:r w:rsidRPr="00871B32">
        <w:rPr>
          <w:rFonts w:ascii="Arial" w:hAnsi="Arial" w:cs="Arial"/>
          <w:sz w:val="20"/>
          <w:szCs w:val="20"/>
          <w:lang w:val="fr-CH"/>
        </w:rPr>
        <w:t>Ammann</w:t>
      </w:r>
      <w:proofErr w:type="spellEnd"/>
      <w:r w:rsidRPr="00871B32">
        <w:rPr>
          <w:rFonts w:ascii="Arial" w:hAnsi="Arial" w:cs="Arial"/>
          <w:sz w:val="20"/>
          <w:szCs w:val="20"/>
          <w:lang w:val="fr-CH"/>
        </w:rPr>
        <w:t xml:space="preserve">. Tout d’abord, parce que de nombreux titulaires de passeports dorés ne se sont jamais installés ou intégrés dans le pays cible. Deuxièmement, parce que les </w:t>
      </w:r>
      <w:proofErr w:type="spellStart"/>
      <w:r w:rsidRPr="00871B32">
        <w:rPr>
          <w:rFonts w:ascii="Arial" w:hAnsi="Arial" w:cs="Arial"/>
          <w:sz w:val="20"/>
          <w:szCs w:val="20"/>
          <w:lang w:val="fr-CH"/>
        </w:rPr>
        <w:t>candidat·e·s</w:t>
      </w:r>
      <w:proofErr w:type="spellEnd"/>
      <w:r w:rsidRPr="00871B32">
        <w:rPr>
          <w:rFonts w:ascii="Arial" w:hAnsi="Arial" w:cs="Arial"/>
          <w:sz w:val="20"/>
          <w:szCs w:val="20"/>
          <w:lang w:val="fr-CH"/>
        </w:rPr>
        <w:t xml:space="preserve"> à la naturalisation sont </w:t>
      </w:r>
      <w:proofErr w:type="spellStart"/>
      <w:r w:rsidRPr="00871B32">
        <w:rPr>
          <w:rFonts w:ascii="Arial" w:hAnsi="Arial" w:cs="Arial"/>
          <w:sz w:val="20"/>
          <w:szCs w:val="20"/>
          <w:lang w:val="fr-CH"/>
        </w:rPr>
        <w:t>divisé·e·s</w:t>
      </w:r>
      <w:proofErr w:type="spellEnd"/>
      <w:r w:rsidRPr="00871B32">
        <w:rPr>
          <w:rFonts w:ascii="Arial" w:hAnsi="Arial" w:cs="Arial"/>
          <w:sz w:val="20"/>
          <w:szCs w:val="20"/>
          <w:lang w:val="fr-CH"/>
        </w:rPr>
        <w:t xml:space="preserve"> en deux classes : La majorité doit répondre à des critères d’intégration stricts qui ne s’appliquent pas à une petite minorité. Troisièmement et de manière décisive, l’égalité des chances, qui est une condition préalable à une société méritocratique, n’est pas respectée. Il s’agit plutôt d’un idéal inatteignable. Si tout le monde ne bénéficie pas des mêmes conditions de départ, une pratique telle que les passeports dorés renforce les inégalités existantes, analyse l’auteure. </w:t>
      </w:r>
    </w:p>
    <w:p w14:paraId="34DC9E6E" w14:textId="77777777" w:rsidR="008C3DB7" w:rsidRPr="00871B32" w:rsidRDefault="008C3DB7" w:rsidP="008C3DB7">
      <w:pPr>
        <w:rPr>
          <w:rFonts w:ascii="Arial" w:hAnsi="Arial" w:cs="Arial"/>
          <w:sz w:val="20"/>
          <w:szCs w:val="20"/>
          <w:lang w:val="fr-CH"/>
        </w:rPr>
      </w:pPr>
    </w:p>
    <w:p w14:paraId="0EB6B9B5"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Dans son article, O. </w:t>
      </w:r>
      <w:proofErr w:type="spellStart"/>
      <w:r w:rsidRPr="00871B32">
        <w:rPr>
          <w:rFonts w:ascii="Arial" w:hAnsi="Arial" w:cs="Arial"/>
          <w:sz w:val="20"/>
          <w:szCs w:val="20"/>
          <w:lang w:val="fr-CH"/>
        </w:rPr>
        <w:t>Ammann</w:t>
      </w:r>
      <w:proofErr w:type="spellEnd"/>
      <w:r w:rsidRPr="00871B32">
        <w:rPr>
          <w:rFonts w:ascii="Arial" w:hAnsi="Arial" w:cs="Arial"/>
          <w:sz w:val="20"/>
          <w:szCs w:val="20"/>
          <w:lang w:val="fr-CH"/>
        </w:rPr>
        <w:t xml:space="preserve"> démontre de manière convaincante que certaines pratiques de naturalisation sont liées de manière problématique aux idéaux méritocratiques. Le jury a particulièrement salué la clarté de l’argumentation et la perspective interdisciplinaire de l’auteure. </w:t>
      </w:r>
    </w:p>
    <w:p w14:paraId="12FEFCC5" w14:textId="77777777" w:rsidR="008C3DB7" w:rsidRPr="00871B32" w:rsidRDefault="008C3DB7" w:rsidP="008C3DB7">
      <w:pPr>
        <w:rPr>
          <w:rFonts w:ascii="Arial" w:hAnsi="Arial" w:cs="Arial"/>
          <w:sz w:val="20"/>
          <w:szCs w:val="20"/>
          <w:lang w:val="fr-CH"/>
        </w:rPr>
      </w:pPr>
    </w:p>
    <w:p w14:paraId="5B33C4E4" w14:textId="77777777" w:rsidR="008C3DB7" w:rsidRPr="00871B32" w:rsidRDefault="008C3DB7" w:rsidP="008C3DB7">
      <w:pPr>
        <w:rPr>
          <w:rFonts w:ascii="Arial" w:hAnsi="Arial" w:cs="Arial"/>
          <w:sz w:val="20"/>
          <w:szCs w:val="20"/>
          <w:lang w:val="fr-CH"/>
        </w:rPr>
      </w:pPr>
    </w:p>
    <w:p w14:paraId="6C1548ED" w14:textId="77777777" w:rsidR="008C3DB7" w:rsidRPr="00871B32" w:rsidRDefault="008C3DB7" w:rsidP="008C3DB7">
      <w:pPr>
        <w:rPr>
          <w:rFonts w:ascii="Arial" w:hAnsi="Arial" w:cs="Arial"/>
          <w:b/>
          <w:bCs/>
          <w:sz w:val="20"/>
          <w:szCs w:val="20"/>
          <w:lang w:val="fr-CH"/>
        </w:rPr>
      </w:pPr>
      <w:r w:rsidRPr="00871B32">
        <w:rPr>
          <w:rFonts w:ascii="Arial" w:hAnsi="Arial" w:cs="Arial"/>
          <w:b/>
          <w:bCs/>
          <w:sz w:val="20"/>
          <w:szCs w:val="20"/>
          <w:lang w:val="fr-CH"/>
        </w:rPr>
        <w:t xml:space="preserve">Bronze : L’histoire de Poyais ou la fraude qui n’en était pas une </w:t>
      </w:r>
    </w:p>
    <w:p w14:paraId="079B8DBC" w14:textId="77777777" w:rsidR="008C3DB7" w:rsidRPr="00871B32" w:rsidRDefault="008C3DB7" w:rsidP="008C3DB7">
      <w:pPr>
        <w:rPr>
          <w:rFonts w:ascii="Arial" w:hAnsi="Arial" w:cs="Arial"/>
          <w:b/>
          <w:bCs/>
          <w:sz w:val="20"/>
          <w:szCs w:val="20"/>
          <w:lang w:val="fr-CH"/>
        </w:rPr>
      </w:pPr>
    </w:p>
    <w:p w14:paraId="75990C7B"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La crise financière de 2008 a mis en lumière plusieurs cas de fraude financière flagrante, tels que ceux de Bernard </w:t>
      </w:r>
      <w:proofErr w:type="spellStart"/>
      <w:r w:rsidRPr="00871B32">
        <w:rPr>
          <w:rFonts w:ascii="Arial" w:hAnsi="Arial" w:cs="Arial"/>
          <w:sz w:val="20"/>
          <w:szCs w:val="20"/>
          <w:lang w:val="fr-CH"/>
        </w:rPr>
        <w:t>Madoff</w:t>
      </w:r>
      <w:proofErr w:type="spellEnd"/>
      <w:r w:rsidRPr="00871B32">
        <w:rPr>
          <w:rFonts w:ascii="Arial" w:hAnsi="Arial" w:cs="Arial"/>
          <w:sz w:val="20"/>
          <w:szCs w:val="20"/>
          <w:lang w:val="fr-CH"/>
        </w:rPr>
        <w:t xml:space="preserve"> ou de Jérôme </w:t>
      </w:r>
      <w:proofErr w:type="spellStart"/>
      <w:r w:rsidRPr="00871B32">
        <w:rPr>
          <w:rFonts w:ascii="Arial" w:hAnsi="Arial" w:cs="Arial"/>
          <w:sz w:val="20"/>
          <w:szCs w:val="20"/>
          <w:lang w:val="fr-CH"/>
        </w:rPr>
        <w:t>Kerviel</w:t>
      </w:r>
      <w:proofErr w:type="spellEnd"/>
      <w:r w:rsidRPr="00871B32">
        <w:rPr>
          <w:rFonts w:ascii="Arial" w:hAnsi="Arial" w:cs="Arial"/>
          <w:sz w:val="20"/>
          <w:szCs w:val="20"/>
          <w:lang w:val="fr-CH"/>
        </w:rPr>
        <w:t xml:space="preserve">. Différents médias ont établi à l’époque des comparaisons entre les personnages contemporains et les fraudeurs du passé. Parmi toutes ces affaires, Gregor </w:t>
      </w:r>
      <w:proofErr w:type="spellStart"/>
      <w:r w:rsidRPr="00871B32">
        <w:rPr>
          <w:rFonts w:ascii="Arial" w:hAnsi="Arial" w:cs="Arial"/>
          <w:sz w:val="20"/>
          <w:szCs w:val="20"/>
          <w:lang w:val="fr-CH"/>
        </w:rPr>
        <w:t>MacGregor</w:t>
      </w:r>
      <w:proofErr w:type="spellEnd"/>
      <w:r w:rsidRPr="00871B32">
        <w:rPr>
          <w:rFonts w:ascii="Arial" w:hAnsi="Arial" w:cs="Arial"/>
          <w:sz w:val="20"/>
          <w:szCs w:val="20"/>
          <w:lang w:val="fr-CH"/>
        </w:rPr>
        <w:t xml:space="preserve">, surnommé le "roi des fraudes", se distingue. </w:t>
      </w:r>
      <w:proofErr w:type="spellStart"/>
      <w:r w:rsidRPr="00871B32">
        <w:rPr>
          <w:rFonts w:ascii="Arial" w:hAnsi="Arial" w:cs="Arial"/>
          <w:sz w:val="20"/>
          <w:szCs w:val="20"/>
          <w:lang w:val="fr-CH"/>
        </w:rPr>
        <w:t>MacGregor</w:t>
      </w:r>
      <w:proofErr w:type="spellEnd"/>
      <w:r w:rsidRPr="00871B32">
        <w:rPr>
          <w:rFonts w:ascii="Arial" w:hAnsi="Arial" w:cs="Arial"/>
          <w:sz w:val="20"/>
          <w:szCs w:val="20"/>
          <w:lang w:val="fr-CH"/>
        </w:rPr>
        <w:t xml:space="preserve"> a vendu des obligations sur le marché financier de Londres au début des années 1820 pour un État d’Amérique centrale appelé Poyais. En 1824, il fut révélé publiquement que cet État prospère n’existait pas tel que décrit. Rapidement, </w:t>
      </w:r>
      <w:proofErr w:type="spellStart"/>
      <w:r w:rsidRPr="00871B32">
        <w:rPr>
          <w:rFonts w:ascii="Arial" w:hAnsi="Arial" w:cs="Arial"/>
          <w:sz w:val="20"/>
          <w:szCs w:val="20"/>
          <w:lang w:val="fr-CH"/>
        </w:rPr>
        <w:t>MacGregor</w:t>
      </w:r>
      <w:proofErr w:type="spellEnd"/>
      <w:r w:rsidRPr="00871B32">
        <w:rPr>
          <w:rFonts w:ascii="Arial" w:hAnsi="Arial" w:cs="Arial"/>
          <w:sz w:val="20"/>
          <w:szCs w:val="20"/>
          <w:lang w:val="fr-CH"/>
        </w:rPr>
        <w:t xml:space="preserve"> a été considéré comme l’escroc financier le plus effronté de l’histoire. Plus tard, Poyais s’est retrouvé dans les médias et dans les milieux scientifiques en tant qu’anecdote humoristique et quelque peu fantaisiste.</w:t>
      </w:r>
    </w:p>
    <w:p w14:paraId="0B80CAD1" w14:textId="77777777" w:rsidR="008C3DB7" w:rsidRPr="00871B32" w:rsidRDefault="008C3DB7" w:rsidP="008C3DB7">
      <w:pPr>
        <w:rPr>
          <w:rFonts w:ascii="Arial" w:hAnsi="Arial" w:cs="Arial"/>
          <w:sz w:val="20"/>
          <w:szCs w:val="20"/>
          <w:lang w:val="fr-CH"/>
        </w:rPr>
      </w:pPr>
    </w:p>
    <w:p w14:paraId="66F1586A"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Cette image est remise en question par le lauréat « bronze » Damian Clavel. Poyais, dit-il, n’était pas un cas exceptionnel de fraude, mais un projet de colonisation complexe, sérieux et tout à fait représentatif de son époque. </w:t>
      </w:r>
      <w:proofErr w:type="spellStart"/>
      <w:r w:rsidRPr="00871B32">
        <w:rPr>
          <w:rFonts w:ascii="Arial" w:hAnsi="Arial" w:cs="Arial"/>
          <w:sz w:val="20"/>
          <w:szCs w:val="20"/>
          <w:lang w:val="fr-CH"/>
        </w:rPr>
        <w:t>MacGregor</w:t>
      </w:r>
      <w:proofErr w:type="spellEnd"/>
      <w:r w:rsidRPr="00871B32">
        <w:rPr>
          <w:rFonts w:ascii="Arial" w:hAnsi="Arial" w:cs="Arial"/>
          <w:sz w:val="20"/>
          <w:szCs w:val="20"/>
          <w:lang w:val="fr-CH"/>
        </w:rPr>
        <w:t xml:space="preserve">, un mercenaire écossais rejeté, a tenté d’utiliser le marché des capitaux britannique pour financer la colonisation d’un territoire qui lui avait été accordé par un souverain indigène. Son échec a été délibérément dépeint comme une fraude par des concurrents britanniques en Amérique latine et à Londres.     </w:t>
      </w:r>
    </w:p>
    <w:p w14:paraId="53D9C5F4" w14:textId="77777777" w:rsidR="008C3DB7" w:rsidRPr="00871B32" w:rsidRDefault="008C3DB7" w:rsidP="008C3DB7">
      <w:pPr>
        <w:rPr>
          <w:rFonts w:ascii="Arial" w:hAnsi="Arial" w:cs="Arial"/>
          <w:sz w:val="20"/>
          <w:szCs w:val="20"/>
          <w:lang w:val="fr-CH"/>
        </w:rPr>
      </w:pPr>
    </w:p>
    <w:p w14:paraId="648C0D9C" w14:textId="77777777" w:rsidR="008C3DB7" w:rsidRPr="00871B32" w:rsidRDefault="008C3DB7" w:rsidP="008C3DB7">
      <w:pPr>
        <w:rPr>
          <w:rFonts w:ascii="Arial" w:hAnsi="Arial" w:cs="Arial"/>
          <w:b/>
          <w:bCs/>
          <w:sz w:val="20"/>
          <w:szCs w:val="20"/>
          <w:lang w:val="fr-CH"/>
        </w:rPr>
      </w:pPr>
      <w:r w:rsidRPr="00871B32">
        <w:rPr>
          <w:rFonts w:ascii="Arial" w:hAnsi="Arial" w:cs="Arial"/>
          <w:sz w:val="20"/>
          <w:szCs w:val="20"/>
          <w:lang w:val="fr-CH"/>
        </w:rPr>
        <w:lastRenderedPageBreak/>
        <w:t>L’analyse historique de Clavel met au jour un réseau complexe d’acteurs et de lieux transatlantiques entourant le marché financier britannique du début du XIXe siècle. Il permet de comprendre la dynamique financière du colonialisme privé et sa contribution aux politiques expansionnistes impérialistes de la Grande-Bretagne. L’auteur utilise l’exemple de Poyais pour montrer comment un cas individuel apparent peut être représentatif du cadre politique et économique d’une époque.</w:t>
      </w:r>
    </w:p>
    <w:p w14:paraId="6BF3100E" w14:textId="77777777" w:rsidR="008C3DB7" w:rsidRPr="00871B32" w:rsidRDefault="008C3DB7" w:rsidP="008C3DB7">
      <w:pPr>
        <w:rPr>
          <w:rFonts w:ascii="Arial" w:hAnsi="Arial" w:cs="Arial"/>
          <w:b/>
          <w:bCs/>
          <w:sz w:val="20"/>
          <w:szCs w:val="20"/>
          <w:lang w:val="fr-CH"/>
        </w:rPr>
      </w:pPr>
    </w:p>
    <w:p w14:paraId="66BBE8FD" w14:textId="77777777" w:rsidR="008C3DB7" w:rsidRPr="00871B32" w:rsidRDefault="008C3DB7" w:rsidP="008C3DB7">
      <w:pPr>
        <w:rPr>
          <w:rFonts w:ascii="Arial" w:hAnsi="Arial" w:cs="Arial"/>
          <w:b/>
          <w:bCs/>
          <w:sz w:val="20"/>
          <w:szCs w:val="20"/>
          <w:lang w:val="fr-CH"/>
        </w:rPr>
      </w:pPr>
    </w:p>
    <w:p w14:paraId="51E60E25" w14:textId="77777777" w:rsidR="008C3DB7" w:rsidRPr="00871B32" w:rsidRDefault="008C3DB7" w:rsidP="008C3DB7">
      <w:pPr>
        <w:rPr>
          <w:rFonts w:ascii="Arial" w:hAnsi="Arial" w:cs="Arial"/>
          <w:b/>
          <w:bCs/>
          <w:sz w:val="20"/>
          <w:szCs w:val="20"/>
          <w:lang w:val="fr-CH"/>
        </w:rPr>
      </w:pPr>
      <w:r w:rsidRPr="00871B32">
        <w:rPr>
          <w:rFonts w:ascii="Arial" w:hAnsi="Arial" w:cs="Arial"/>
          <w:b/>
          <w:bCs/>
          <w:sz w:val="20"/>
          <w:szCs w:val="20"/>
          <w:lang w:val="fr-CH"/>
        </w:rPr>
        <w:t>Proportion de candidates élevée comme jamais</w:t>
      </w:r>
    </w:p>
    <w:p w14:paraId="01B9924A" w14:textId="77777777" w:rsidR="008C3DB7" w:rsidRPr="00871B32" w:rsidRDefault="008C3DB7" w:rsidP="008C3DB7">
      <w:pPr>
        <w:rPr>
          <w:rFonts w:ascii="Arial" w:hAnsi="Arial" w:cs="Arial"/>
          <w:b/>
          <w:bCs/>
          <w:sz w:val="20"/>
          <w:szCs w:val="20"/>
          <w:lang w:val="fr-CH"/>
        </w:rPr>
      </w:pPr>
    </w:p>
    <w:p w14:paraId="472DC320" w14:textId="77777777" w:rsidR="008C3DB7" w:rsidRPr="00871B32" w:rsidRDefault="008C3DB7" w:rsidP="008C3DB7">
      <w:pPr>
        <w:rPr>
          <w:rFonts w:ascii="Arial" w:hAnsi="Arial" w:cs="Arial"/>
          <w:sz w:val="20"/>
          <w:szCs w:val="20"/>
          <w:lang w:val="fr-CH"/>
        </w:rPr>
      </w:pPr>
      <w:r w:rsidRPr="00871B32">
        <w:rPr>
          <w:rFonts w:ascii="Arial" w:hAnsi="Arial" w:cs="Arial"/>
          <w:sz w:val="20"/>
          <w:szCs w:val="20"/>
          <w:lang w:val="fr-CH"/>
        </w:rPr>
        <w:t xml:space="preserve">58 chercheuses et 40 chercheurs ont déposé leur candidature pour le Prix Relève 2021. Les dossiers des </w:t>
      </w:r>
      <w:proofErr w:type="spellStart"/>
      <w:r w:rsidRPr="00871B32">
        <w:rPr>
          <w:rFonts w:ascii="Arial" w:hAnsi="Arial" w:cs="Arial"/>
          <w:sz w:val="20"/>
          <w:szCs w:val="20"/>
          <w:lang w:val="fr-CH"/>
        </w:rPr>
        <w:t>candidat·e·s</w:t>
      </w:r>
      <w:proofErr w:type="spellEnd"/>
      <w:r w:rsidRPr="00871B32">
        <w:rPr>
          <w:rFonts w:ascii="Arial" w:hAnsi="Arial" w:cs="Arial"/>
          <w:sz w:val="20"/>
          <w:szCs w:val="20"/>
          <w:lang w:val="fr-CH"/>
        </w:rPr>
        <w:t xml:space="preserve"> peuvent être lus comme un inventaire de la recherche en sciences humaines et sociales en Suisse. Environ 60 % des candidatures, soit une proportion plus élevée que jamais, proviennent de femmes. Cela reflète également la forte proportion de femmes dans les sciences humaines et sociales. Enfin, l’orientation internationale de la recherche est mise en évidence : près de deux tiers des textes soumis (66) sont rédigés en anglais. Le tiers restant est réparti entre l’allemand (17), le français (13) et l’italien (2).</w:t>
      </w:r>
    </w:p>
    <w:p w14:paraId="41A37CD7" w14:textId="3BEFC490" w:rsidR="008C3DB7" w:rsidRDefault="008C3DB7" w:rsidP="008C3DB7">
      <w:pPr>
        <w:pBdr>
          <w:bottom w:val="single" w:sz="6" w:space="1" w:color="auto"/>
        </w:pBdr>
        <w:rPr>
          <w:rFonts w:ascii="Arial" w:hAnsi="Arial" w:cs="Arial"/>
          <w:sz w:val="20"/>
          <w:szCs w:val="20"/>
          <w:lang w:val="fr-CH"/>
        </w:rPr>
      </w:pPr>
    </w:p>
    <w:p w14:paraId="7854A093" w14:textId="1E35902C" w:rsidR="001C5CE9" w:rsidRDefault="001C5CE9" w:rsidP="008C3DB7">
      <w:pPr>
        <w:pBdr>
          <w:bottom w:val="single" w:sz="6" w:space="1" w:color="auto"/>
        </w:pBdr>
        <w:rPr>
          <w:rFonts w:ascii="Arial" w:hAnsi="Arial" w:cs="Arial"/>
          <w:sz w:val="20"/>
          <w:szCs w:val="20"/>
          <w:lang w:val="fr-CH"/>
        </w:rPr>
      </w:pPr>
      <w:r w:rsidRPr="001C5CE9">
        <w:rPr>
          <w:rFonts w:ascii="Arial" w:hAnsi="Arial" w:cs="Arial"/>
          <w:sz w:val="20"/>
          <w:szCs w:val="20"/>
          <w:lang w:val="fr-CH"/>
        </w:rPr>
        <w:t xml:space="preserve">La remise des certificats par Jakob Tanner, le président du jury du Prix de la Relève, aura lieu le vendredi, 28 mai 2021 à 16h30 lors de l'Assemblée des </w:t>
      </w:r>
      <w:proofErr w:type="spellStart"/>
      <w:r w:rsidRPr="001C5CE9">
        <w:rPr>
          <w:rFonts w:ascii="Arial" w:hAnsi="Arial" w:cs="Arial"/>
          <w:sz w:val="20"/>
          <w:szCs w:val="20"/>
          <w:lang w:val="fr-CH"/>
        </w:rPr>
        <w:t>délégué·e·s</w:t>
      </w:r>
      <w:proofErr w:type="spellEnd"/>
      <w:r w:rsidRPr="001C5CE9">
        <w:rPr>
          <w:rFonts w:ascii="Arial" w:hAnsi="Arial" w:cs="Arial"/>
          <w:sz w:val="20"/>
          <w:szCs w:val="20"/>
          <w:lang w:val="fr-CH"/>
        </w:rPr>
        <w:t xml:space="preserve"> virtuelle de l'ASSH. Les lauréates «or» et «argent» seront présentes, le lauréat «bronze» sera connecté en direct.</w:t>
      </w:r>
    </w:p>
    <w:p w14:paraId="07E89BB0" w14:textId="77777777" w:rsidR="001C5CE9" w:rsidRPr="00871B32" w:rsidRDefault="001C5CE9" w:rsidP="008C3DB7">
      <w:pPr>
        <w:pBdr>
          <w:bottom w:val="single" w:sz="6" w:space="1" w:color="auto"/>
        </w:pBdr>
        <w:rPr>
          <w:rFonts w:ascii="Arial" w:hAnsi="Arial" w:cs="Arial"/>
          <w:sz w:val="20"/>
          <w:szCs w:val="20"/>
          <w:lang w:val="fr-CH"/>
        </w:rPr>
      </w:pPr>
    </w:p>
    <w:p w14:paraId="55FA6042" w14:textId="753D846A" w:rsidR="008C3DB7" w:rsidRPr="00871B32" w:rsidRDefault="008C3DB7" w:rsidP="00A83EDF">
      <w:pPr>
        <w:rPr>
          <w:rFonts w:ascii="Arial" w:hAnsi="Arial" w:cs="Arial"/>
          <w:sz w:val="22"/>
          <w:szCs w:val="22"/>
          <w:lang w:val="fr-CH" w:eastAsia="ja-JP"/>
        </w:rPr>
      </w:pPr>
    </w:p>
    <w:p w14:paraId="540DC926" w14:textId="77777777" w:rsidR="008C3DB7" w:rsidRPr="00871B32" w:rsidRDefault="008C3DB7" w:rsidP="00A83EDF">
      <w:pPr>
        <w:rPr>
          <w:rFonts w:ascii="Arial" w:hAnsi="Arial" w:cs="Arial"/>
          <w:sz w:val="22"/>
          <w:szCs w:val="22"/>
          <w:lang w:val="fr-CH" w:eastAsia="ja-JP"/>
        </w:rPr>
      </w:pPr>
    </w:p>
    <w:p w14:paraId="4F5C30CB" w14:textId="44EEA52B" w:rsidR="008C3DB7" w:rsidRPr="00871B32" w:rsidRDefault="008C3DB7" w:rsidP="00A83EDF">
      <w:pPr>
        <w:rPr>
          <w:rFonts w:ascii="Arial" w:hAnsi="Arial" w:cs="Arial"/>
          <w:b/>
          <w:bCs/>
          <w:sz w:val="22"/>
          <w:szCs w:val="22"/>
          <w:lang w:val="fr-CH" w:eastAsia="ja-JP"/>
        </w:rPr>
      </w:pPr>
      <w:r w:rsidRPr="00871B32">
        <w:rPr>
          <w:rFonts w:ascii="Arial" w:hAnsi="Arial" w:cs="Arial"/>
          <w:b/>
          <w:bCs/>
          <w:sz w:val="22"/>
          <w:szCs w:val="22"/>
          <w:lang w:val="fr-CH" w:eastAsia="ja-JP"/>
        </w:rPr>
        <w:t>Contact en cas de questions</w:t>
      </w:r>
    </w:p>
    <w:p w14:paraId="3878D1FD" w14:textId="77777777" w:rsidR="00A83EDF" w:rsidRPr="00871B32" w:rsidRDefault="00A83EDF" w:rsidP="00A83EDF">
      <w:pPr>
        <w:rPr>
          <w:rFonts w:ascii="Arial" w:hAnsi="Arial" w:cs="Arial"/>
          <w:sz w:val="22"/>
          <w:szCs w:val="22"/>
          <w:lang w:val="fr-CH" w:eastAsia="ja-JP"/>
        </w:rPr>
      </w:pPr>
    </w:p>
    <w:p w14:paraId="37D595C3" w14:textId="048C7C7F" w:rsidR="008C3DB7" w:rsidRPr="00871B32" w:rsidRDefault="008C3DB7" w:rsidP="008C3DB7">
      <w:pPr>
        <w:rPr>
          <w:rFonts w:ascii="Arial" w:hAnsi="Arial" w:cs="Arial"/>
          <w:color w:val="000000" w:themeColor="text1"/>
          <w:sz w:val="22"/>
          <w:szCs w:val="22"/>
          <w:lang w:val="fr-CH" w:eastAsia="ja-JP"/>
        </w:rPr>
      </w:pPr>
      <w:proofErr w:type="spellStart"/>
      <w:r w:rsidRPr="008C3DB7">
        <w:rPr>
          <w:rFonts w:ascii="Arial" w:hAnsi="Arial" w:cs="Arial"/>
          <w:sz w:val="22"/>
          <w:szCs w:val="22"/>
          <w:lang w:val="fr-CH" w:eastAsia="ja-JP"/>
        </w:rPr>
        <w:t>Lea</w:t>
      </w:r>
      <w:proofErr w:type="spellEnd"/>
      <w:r w:rsidRPr="008C3DB7">
        <w:rPr>
          <w:rFonts w:ascii="Arial" w:hAnsi="Arial" w:cs="Arial"/>
          <w:sz w:val="22"/>
          <w:szCs w:val="22"/>
          <w:lang w:val="fr-CH" w:eastAsia="ja-JP"/>
        </w:rPr>
        <w:t xml:space="preserve"> Berger, collaboratrice scientifique ASSH</w:t>
      </w:r>
      <w:r w:rsidRPr="008C3DB7">
        <w:rPr>
          <w:rFonts w:ascii="Arial" w:hAnsi="Arial" w:cs="Arial"/>
          <w:sz w:val="22"/>
          <w:szCs w:val="22"/>
          <w:lang w:val="fr-CH" w:eastAsia="ja-JP"/>
        </w:rPr>
        <w:br/>
      </w:r>
      <w:r w:rsidRPr="008C3DB7">
        <w:rPr>
          <w:rFonts w:ascii="Arial" w:hAnsi="Arial" w:cs="Arial"/>
          <w:color w:val="000000" w:themeColor="text1"/>
          <w:sz w:val="22"/>
          <w:szCs w:val="22"/>
          <w:lang w:val="fr-CH" w:eastAsia="ja-JP"/>
        </w:rPr>
        <w:t>Tel. 031 306 92 59  </w:t>
      </w:r>
      <w:r w:rsidRPr="008C3DB7">
        <w:rPr>
          <w:rFonts w:ascii="Arial" w:hAnsi="Arial" w:cs="Arial"/>
          <w:color w:val="000000" w:themeColor="text1"/>
          <w:sz w:val="22"/>
          <w:szCs w:val="22"/>
          <w:lang w:val="fr-CH" w:eastAsia="ja-JP"/>
        </w:rPr>
        <w:br/>
      </w:r>
      <w:hyperlink r:id="rId8" w:tooltip="https://www.sagw-news.ch/sagw/jump/jump.cfm?jump=link&amp;bID=1103&amp;nlID=107&amp;abID=3170&amp;lID=6246&amp;ref=versand" w:history="1">
        <w:r w:rsidRPr="008C3DB7">
          <w:rPr>
            <w:rStyle w:val="Hyperlink"/>
            <w:rFonts w:ascii="Arial" w:hAnsi="Arial" w:cs="Arial"/>
            <w:color w:val="000000" w:themeColor="text1"/>
            <w:sz w:val="22"/>
            <w:szCs w:val="22"/>
            <w:lang w:val="fr-CH" w:eastAsia="ja-JP"/>
          </w:rPr>
          <w:t>lea.</w:t>
        </w:r>
        <w:r w:rsidRPr="008C3DB7">
          <w:rPr>
            <w:rStyle w:val="Hyperlink"/>
            <w:rFonts w:ascii="Arial" w:hAnsi="Arial" w:cs="Arial"/>
            <w:color w:val="000000" w:themeColor="text1"/>
            <w:sz w:val="22"/>
            <w:szCs w:val="22"/>
            <w:lang w:val="fr-CH" w:eastAsia="ja-JP"/>
          </w:rPr>
          <w:t>b</w:t>
        </w:r>
        <w:r w:rsidRPr="008C3DB7">
          <w:rPr>
            <w:rStyle w:val="Hyperlink"/>
            <w:rFonts w:ascii="Arial" w:hAnsi="Arial" w:cs="Arial"/>
            <w:color w:val="000000" w:themeColor="text1"/>
            <w:sz w:val="22"/>
            <w:szCs w:val="22"/>
            <w:lang w:val="fr-CH" w:eastAsia="ja-JP"/>
          </w:rPr>
          <w:t>erger@sagw</w:t>
        </w:r>
        <w:r w:rsidRPr="008C3DB7">
          <w:rPr>
            <w:rStyle w:val="Hyperlink"/>
            <w:rFonts w:ascii="Arial" w:hAnsi="Arial" w:cs="Arial"/>
            <w:color w:val="000000" w:themeColor="text1"/>
            <w:sz w:val="22"/>
            <w:szCs w:val="22"/>
            <w:lang w:val="fr-CH" w:eastAsia="ja-JP"/>
          </w:rPr>
          <w:t>.</w:t>
        </w:r>
        <w:r w:rsidRPr="008C3DB7">
          <w:rPr>
            <w:rStyle w:val="Hyperlink"/>
            <w:rFonts w:ascii="Arial" w:hAnsi="Arial" w:cs="Arial"/>
            <w:color w:val="000000" w:themeColor="text1"/>
            <w:sz w:val="22"/>
            <w:szCs w:val="22"/>
            <w:lang w:val="fr-CH" w:eastAsia="ja-JP"/>
          </w:rPr>
          <w:t>ch</w:t>
        </w:r>
      </w:hyperlink>
    </w:p>
    <w:p w14:paraId="37BB54D1" w14:textId="48164D6B" w:rsidR="008C3DB7" w:rsidRPr="00871B32" w:rsidRDefault="008C3DB7" w:rsidP="008C3DB7">
      <w:pPr>
        <w:rPr>
          <w:rFonts w:ascii="Arial" w:hAnsi="Arial" w:cs="Arial"/>
          <w:color w:val="000000" w:themeColor="text1"/>
          <w:sz w:val="22"/>
          <w:szCs w:val="22"/>
          <w:lang w:val="fr-CH" w:eastAsia="ja-JP"/>
        </w:rPr>
      </w:pPr>
    </w:p>
    <w:p w14:paraId="1AA4DC3D" w14:textId="77777777" w:rsidR="008C3DB7" w:rsidRPr="008C3DB7" w:rsidRDefault="008C3DB7" w:rsidP="008C3DB7">
      <w:pPr>
        <w:rPr>
          <w:rFonts w:ascii="Arial" w:hAnsi="Arial" w:cs="Arial"/>
          <w:color w:val="000000" w:themeColor="text1"/>
          <w:sz w:val="22"/>
          <w:szCs w:val="22"/>
          <w:lang w:val="fr-CH" w:eastAsia="ja-JP"/>
        </w:rPr>
      </w:pPr>
    </w:p>
    <w:p w14:paraId="17DF3D1F" w14:textId="28B1AA86" w:rsidR="008C3DB7" w:rsidRPr="00871B32" w:rsidRDefault="008C3DB7" w:rsidP="008C3DB7">
      <w:pPr>
        <w:rPr>
          <w:rFonts w:ascii="Arial" w:hAnsi="Arial" w:cs="Arial"/>
          <w:b/>
          <w:bCs/>
          <w:color w:val="000000" w:themeColor="text1"/>
          <w:sz w:val="22"/>
          <w:szCs w:val="22"/>
          <w:lang w:eastAsia="ja-JP"/>
        </w:rPr>
      </w:pPr>
      <w:r w:rsidRPr="008C3DB7">
        <w:rPr>
          <w:rFonts w:ascii="Arial" w:hAnsi="Arial" w:cs="Arial"/>
          <w:b/>
          <w:bCs/>
          <w:color w:val="000000" w:themeColor="text1"/>
          <w:sz w:val="22"/>
          <w:szCs w:val="22"/>
          <w:lang w:eastAsia="ja-JP"/>
        </w:rPr>
        <w:t>Liens</w:t>
      </w:r>
    </w:p>
    <w:p w14:paraId="42E78CEE" w14:textId="77777777" w:rsidR="008C3DB7" w:rsidRPr="008C3DB7" w:rsidRDefault="008C3DB7" w:rsidP="008C3DB7">
      <w:pPr>
        <w:rPr>
          <w:rFonts w:ascii="Arial" w:hAnsi="Arial" w:cs="Arial"/>
          <w:b/>
          <w:bCs/>
          <w:color w:val="000000" w:themeColor="text1"/>
          <w:sz w:val="22"/>
          <w:szCs w:val="22"/>
          <w:lang w:eastAsia="ja-JP"/>
        </w:rPr>
      </w:pPr>
    </w:p>
    <w:p w14:paraId="6A389B96" w14:textId="04D741BA" w:rsidR="008C3DB7" w:rsidRPr="008C3DB7" w:rsidRDefault="008C3DB7" w:rsidP="008C3DB7">
      <w:pPr>
        <w:numPr>
          <w:ilvl w:val="0"/>
          <w:numId w:val="6"/>
        </w:num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 xml:space="preserve">Les photos et les biographies des </w:t>
      </w:r>
      <w:proofErr w:type="spellStart"/>
      <w:r w:rsidRPr="008C3DB7">
        <w:rPr>
          <w:rFonts w:ascii="Arial" w:hAnsi="Arial" w:cs="Arial"/>
          <w:color w:val="000000" w:themeColor="text1"/>
          <w:sz w:val="22"/>
          <w:szCs w:val="22"/>
          <w:lang w:val="fr-CH" w:eastAsia="ja-JP"/>
        </w:rPr>
        <w:t>lauréat·e·s</w:t>
      </w:r>
      <w:proofErr w:type="spellEnd"/>
      <w:r w:rsidRPr="008C3DB7">
        <w:rPr>
          <w:rFonts w:ascii="Arial" w:hAnsi="Arial" w:cs="Arial"/>
          <w:color w:val="000000" w:themeColor="text1"/>
          <w:sz w:val="22"/>
          <w:szCs w:val="22"/>
          <w:lang w:val="fr-CH" w:eastAsia="ja-JP"/>
        </w:rPr>
        <w:t xml:space="preserve"> :  </w:t>
      </w:r>
      <w:hyperlink r:id="rId9" w:tgtFrame="_blank" w:history="1">
        <w:r w:rsidRPr="008C3DB7">
          <w:rPr>
            <w:rStyle w:val="Hyperlink"/>
            <w:rFonts w:ascii="Arial" w:hAnsi="Arial" w:cs="Arial"/>
            <w:color w:val="000000" w:themeColor="text1"/>
            <w:sz w:val="22"/>
            <w:szCs w:val="22"/>
            <w:lang w:val="fr-CH" w:eastAsia="ja-JP"/>
          </w:rPr>
          <w:t>sit</w:t>
        </w:r>
        <w:r w:rsidRPr="008C3DB7">
          <w:rPr>
            <w:rStyle w:val="Hyperlink"/>
            <w:rFonts w:ascii="Arial" w:hAnsi="Arial" w:cs="Arial"/>
            <w:color w:val="000000" w:themeColor="text1"/>
            <w:sz w:val="22"/>
            <w:szCs w:val="22"/>
            <w:lang w:val="fr-CH" w:eastAsia="ja-JP"/>
          </w:rPr>
          <w:t>e</w:t>
        </w:r>
        <w:r w:rsidRPr="008C3DB7">
          <w:rPr>
            <w:rStyle w:val="Hyperlink"/>
            <w:rFonts w:ascii="Arial" w:hAnsi="Arial" w:cs="Arial"/>
            <w:color w:val="000000" w:themeColor="text1"/>
            <w:sz w:val="22"/>
            <w:szCs w:val="22"/>
            <w:lang w:val="fr-CH" w:eastAsia="ja-JP"/>
          </w:rPr>
          <w:t xml:space="preserve"> Intern</w:t>
        </w:r>
        <w:r w:rsidRPr="008C3DB7">
          <w:rPr>
            <w:rStyle w:val="Hyperlink"/>
            <w:rFonts w:ascii="Arial" w:hAnsi="Arial" w:cs="Arial"/>
            <w:color w:val="000000" w:themeColor="text1"/>
            <w:sz w:val="22"/>
            <w:szCs w:val="22"/>
            <w:lang w:val="fr-CH" w:eastAsia="ja-JP"/>
          </w:rPr>
          <w:t>e</w:t>
        </w:r>
        <w:r w:rsidRPr="008C3DB7">
          <w:rPr>
            <w:rStyle w:val="Hyperlink"/>
            <w:rFonts w:ascii="Arial" w:hAnsi="Arial" w:cs="Arial"/>
            <w:color w:val="000000" w:themeColor="text1"/>
            <w:sz w:val="22"/>
            <w:szCs w:val="22"/>
            <w:lang w:val="fr-CH" w:eastAsia="ja-JP"/>
          </w:rPr>
          <w:t>t de l’ASSH</w:t>
        </w:r>
      </w:hyperlink>
    </w:p>
    <w:p w14:paraId="18B5B4B8" w14:textId="6345B795" w:rsidR="008C3DB7" w:rsidRPr="008C3DB7" w:rsidRDefault="008C3DB7" w:rsidP="008C3DB7">
      <w:pPr>
        <w:numPr>
          <w:ilvl w:val="0"/>
          <w:numId w:val="6"/>
        </w:num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Article Prix de la Relève Or : </w:t>
      </w:r>
      <w:hyperlink r:id="rId10" w:tgtFrame="_blank" w:history="1">
        <w:r w:rsidRPr="008C3DB7">
          <w:rPr>
            <w:rStyle w:val="Hyperlink"/>
            <w:rFonts w:ascii="Arial" w:hAnsi="Arial" w:cs="Arial"/>
            <w:color w:val="000000" w:themeColor="text1"/>
            <w:sz w:val="22"/>
            <w:szCs w:val="22"/>
            <w:lang w:val="fr-CH" w:eastAsia="ja-JP"/>
          </w:rPr>
          <w:t xml:space="preserve">Full </w:t>
        </w:r>
        <w:proofErr w:type="spellStart"/>
        <w:r w:rsidRPr="008C3DB7">
          <w:rPr>
            <w:rStyle w:val="Hyperlink"/>
            <w:rFonts w:ascii="Arial" w:hAnsi="Arial" w:cs="Arial"/>
            <w:color w:val="000000" w:themeColor="text1"/>
            <w:sz w:val="22"/>
            <w:szCs w:val="22"/>
            <w:lang w:val="fr-CH" w:eastAsia="ja-JP"/>
          </w:rPr>
          <w:t>Text</w:t>
        </w:r>
        <w:proofErr w:type="spellEnd"/>
      </w:hyperlink>
    </w:p>
    <w:p w14:paraId="0DE2A78D" w14:textId="5454DD47" w:rsidR="008C3DB7" w:rsidRPr="008C3DB7" w:rsidRDefault="008C3DB7" w:rsidP="008C3DB7">
      <w:pPr>
        <w:numPr>
          <w:ilvl w:val="0"/>
          <w:numId w:val="6"/>
        </w:num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Article Prix de la Relève Argent : </w:t>
      </w:r>
      <w:hyperlink r:id="rId11" w:tgtFrame="_blank" w:history="1">
        <w:r w:rsidRPr="008C3DB7">
          <w:rPr>
            <w:rStyle w:val="Hyperlink"/>
            <w:rFonts w:ascii="Arial" w:hAnsi="Arial" w:cs="Arial"/>
            <w:color w:val="000000" w:themeColor="text1"/>
            <w:sz w:val="22"/>
            <w:szCs w:val="22"/>
            <w:lang w:val="fr-CH" w:eastAsia="ja-JP"/>
          </w:rPr>
          <w:t>Abs</w:t>
        </w:r>
        <w:r w:rsidRPr="008C3DB7">
          <w:rPr>
            <w:rStyle w:val="Hyperlink"/>
            <w:rFonts w:ascii="Arial" w:hAnsi="Arial" w:cs="Arial"/>
            <w:color w:val="000000" w:themeColor="text1"/>
            <w:sz w:val="22"/>
            <w:szCs w:val="22"/>
            <w:lang w:val="fr-CH" w:eastAsia="ja-JP"/>
          </w:rPr>
          <w:t>t</w:t>
        </w:r>
        <w:r w:rsidRPr="008C3DB7">
          <w:rPr>
            <w:rStyle w:val="Hyperlink"/>
            <w:rFonts w:ascii="Arial" w:hAnsi="Arial" w:cs="Arial"/>
            <w:color w:val="000000" w:themeColor="text1"/>
            <w:sz w:val="22"/>
            <w:szCs w:val="22"/>
            <w:lang w:val="fr-CH" w:eastAsia="ja-JP"/>
          </w:rPr>
          <w:t>ract</w:t>
        </w:r>
      </w:hyperlink>
      <w:r w:rsidRPr="008C3DB7">
        <w:rPr>
          <w:rFonts w:ascii="Arial" w:hAnsi="Arial" w:cs="Arial"/>
          <w:color w:val="000000" w:themeColor="text1"/>
          <w:sz w:val="22"/>
          <w:szCs w:val="22"/>
          <w:lang w:val="fr-CH" w:eastAsia="ja-JP"/>
        </w:rPr>
        <w:t> </w:t>
      </w:r>
    </w:p>
    <w:p w14:paraId="4B42823F" w14:textId="26DA99E6" w:rsidR="008C3DB7" w:rsidRPr="008C3DB7" w:rsidRDefault="008C3DB7" w:rsidP="008C3DB7">
      <w:pPr>
        <w:numPr>
          <w:ilvl w:val="0"/>
          <w:numId w:val="6"/>
        </w:num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Article Prix de la Relève Bronze : </w:t>
      </w:r>
      <w:hyperlink r:id="rId12" w:tgtFrame="_blank" w:history="1">
        <w:r w:rsidRPr="008C3DB7">
          <w:rPr>
            <w:rStyle w:val="Hyperlink"/>
            <w:rFonts w:ascii="Arial" w:hAnsi="Arial" w:cs="Arial"/>
            <w:color w:val="000000" w:themeColor="text1"/>
            <w:sz w:val="22"/>
            <w:szCs w:val="22"/>
            <w:lang w:val="fr-CH" w:eastAsia="ja-JP"/>
          </w:rPr>
          <w:t xml:space="preserve">Full </w:t>
        </w:r>
        <w:proofErr w:type="spellStart"/>
        <w:r w:rsidRPr="008C3DB7">
          <w:rPr>
            <w:rStyle w:val="Hyperlink"/>
            <w:rFonts w:ascii="Arial" w:hAnsi="Arial" w:cs="Arial"/>
            <w:color w:val="000000" w:themeColor="text1"/>
            <w:sz w:val="22"/>
            <w:szCs w:val="22"/>
            <w:lang w:val="fr-CH" w:eastAsia="ja-JP"/>
          </w:rPr>
          <w:t>T</w:t>
        </w:r>
        <w:r w:rsidRPr="008C3DB7">
          <w:rPr>
            <w:rStyle w:val="Hyperlink"/>
            <w:rFonts w:ascii="Arial" w:hAnsi="Arial" w:cs="Arial"/>
            <w:color w:val="000000" w:themeColor="text1"/>
            <w:sz w:val="22"/>
            <w:szCs w:val="22"/>
            <w:lang w:val="fr-CH" w:eastAsia="ja-JP"/>
          </w:rPr>
          <w:t>e</w:t>
        </w:r>
        <w:r w:rsidRPr="008C3DB7">
          <w:rPr>
            <w:rStyle w:val="Hyperlink"/>
            <w:rFonts w:ascii="Arial" w:hAnsi="Arial" w:cs="Arial"/>
            <w:color w:val="000000" w:themeColor="text1"/>
            <w:sz w:val="22"/>
            <w:szCs w:val="22"/>
            <w:lang w:val="fr-CH" w:eastAsia="ja-JP"/>
          </w:rPr>
          <w:t>xt</w:t>
        </w:r>
        <w:proofErr w:type="spellEnd"/>
      </w:hyperlink>
    </w:p>
    <w:p w14:paraId="518B834D" w14:textId="1A6E15C3" w:rsidR="008C3DB7" w:rsidRPr="008C3DB7" w:rsidRDefault="008C3DB7" w:rsidP="008C3DB7">
      <w:pPr>
        <w:numPr>
          <w:ilvl w:val="0"/>
          <w:numId w:val="6"/>
        </w:num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Plus d'informations sur le Prix de la Relève de l'ASSH : </w:t>
      </w:r>
      <w:hyperlink r:id="rId13" w:tgtFrame="_blank" w:history="1">
        <w:r w:rsidRPr="008C3DB7">
          <w:rPr>
            <w:rStyle w:val="Hyperlink"/>
            <w:rFonts w:ascii="Arial" w:hAnsi="Arial" w:cs="Arial"/>
            <w:color w:val="000000" w:themeColor="text1"/>
            <w:sz w:val="22"/>
            <w:szCs w:val="22"/>
            <w:lang w:val="fr-CH" w:eastAsia="ja-JP"/>
          </w:rPr>
          <w:t>site I</w:t>
        </w:r>
        <w:r w:rsidRPr="008C3DB7">
          <w:rPr>
            <w:rStyle w:val="Hyperlink"/>
            <w:rFonts w:ascii="Arial" w:hAnsi="Arial" w:cs="Arial"/>
            <w:color w:val="000000" w:themeColor="text1"/>
            <w:sz w:val="22"/>
            <w:szCs w:val="22"/>
            <w:lang w:val="fr-CH" w:eastAsia="ja-JP"/>
          </w:rPr>
          <w:t>n</w:t>
        </w:r>
        <w:r w:rsidRPr="008C3DB7">
          <w:rPr>
            <w:rStyle w:val="Hyperlink"/>
            <w:rFonts w:ascii="Arial" w:hAnsi="Arial" w:cs="Arial"/>
            <w:color w:val="000000" w:themeColor="text1"/>
            <w:sz w:val="22"/>
            <w:szCs w:val="22"/>
            <w:lang w:val="fr-CH" w:eastAsia="ja-JP"/>
          </w:rPr>
          <w:t>ternet</w:t>
        </w:r>
      </w:hyperlink>
    </w:p>
    <w:p w14:paraId="703907B2" w14:textId="5B322C51" w:rsidR="008C3DB7" w:rsidRPr="008C3DB7" w:rsidRDefault="008C3DB7" w:rsidP="008C3DB7">
      <w:pPr>
        <w:numPr>
          <w:ilvl w:val="0"/>
          <w:numId w:val="6"/>
        </w:num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Plus d'informations sur les candidatures 2021 : </w:t>
      </w:r>
      <w:hyperlink r:id="rId14" w:tgtFrame="_blank" w:history="1">
        <w:r w:rsidRPr="008C3DB7">
          <w:rPr>
            <w:rStyle w:val="Hyperlink"/>
            <w:rFonts w:ascii="Arial" w:hAnsi="Arial" w:cs="Arial"/>
            <w:color w:val="000000" w:themeColor="text1"/>
            <w:sz w:val="22"/>
            <w:szCs w:val="22"/>
            <w:lang w:val="fr-CH" w:eastAsia="ja-JP"/>
          </w:rPr>
          <w:t>nouvelle de l'A</w:t>
        </w:r>
        <w:r w:rsidRPr="008C3DB7">
          <w:rPr>
            <w:rStyle w:val="Hyperlink"/>
            <w:rFonts w:ascii="Arial" w:hAnsi="Arial" w:cs="Arial"/>
            <w:color w:val="000000" w:themeColor="text1"/>
            <w:sz w:val="22"/>
            <w:szCs w:val="22"/>
            <w:lang w:val="fr-CH" w:eastAsia="ja-JP"/>
          </w:rPr>
          <w:t>S</w:t>
        </w:r>
        <w:r w:rsidRPr="008C3DB7">
          <w:rPr>
            <w:rStyle w:val="Hyperlink"/>
            <w:rFonts w:ascii="Arial" w:hAnsi="Arial" w:cs="Arial"/>
            <w:color w:val="000000" w:themeColor="text1"/>
            <w:sz w:val="22"/>
            <w:szCs w:val="22"/>
            <w:lang w:val="fr-CH" w:eastAsia="ja-JP"/>
          </w:rPr>
          <w:t>SH</w:t>
        </w:r>
      </w:hyperlink>
      <w:r w:rsidRPr="00871B32">
        <w:rPr>
          <w:rFonts w:ascii="Arial" w:hAnsi="Arial" w:cs="Arial"/>
          <w:color w:val="000000" w:themeColor="text1"/>
          <w:sz w:val="22"/>
          <w:szCs w:val="22"/>
          <w:lang w:val="fr-CH" w:eastAsia="ja-JP"/>
        </w:rPr>
        <w:t xml:space="preserve"> </w:t>
      </w:r>
      <w:r w:rsidRPr="008C3DB7">
        <w:rPr>
          <w:rFonts w:ascii="Arial" w:hAnsi="Arial" w:cs="Arial"/>
          <w:color w:val="000000" w:themeColor="text1"/>
          <w:sz w:val="22"/>
          <w:szCs w:val="22"/>
          <w:lang w:val="fr-CH" w:eastAsia="ja-JP"/>
        </w:rPr>
        <w:t>du 17.12.2020</w:t>
      </w:r>
    </w:p>
    <w:p w14:paraId="76315201" w14:textId="77777777" w:rsidR="008C3DB7" w:rsidRPr="00871B32" w:rsidRDefault="008C3DB7" w:rsidP="008C3DB7">
      <w:pPr>
        <w:rPr>
          <w:rFonts w:ascii="Arial" w:hAnsi="Arial" w:cs="Arial"/>
          <w:color w:val="000000" w:themeColor="text1"/>
          <w:sz w:val="22"/>
          <w:szCs w:val="22"/>
          <w:lang w:val="fr-CH" w:eastAsia="ja-JP"/>
        </w:rPr>
      </w:pPr>
    </w:p>
    <w:p w14:paraId="67F47083" w14:textId="2FEA8D59" w:rsidR="0090274B" w:rsidRPr="00871B32" w:rsidRDefault="008C3DB7" w:rsidP="00A83EDF">
      <w:pPr>
        <w:rPr>
          <w:rFonts w:ascii="Arial" w:hAnsi="Arial" w:cs="Arial"/>
          <w:color w:val="000000" w:themeColor="text1"/>
          <w:sz w:val="22"/>
          <w:szCs w:val="22"/>
          <w:lang w:val="fr-CH" w:eastAsia="ja-JP"/>
        </w:rPr>
      </w:pPr>
      <w:r w:rsidRPr="008C3DB7">
        <w:rPr>
          <w:rFonts w:ascii="Arial" w:hAnsi="Arial" w:cs="Arial"/>
          <w:color w:val="000000" w:themeColor="text1"/>
          <w:sz w:val="22"/>
          <w:szCs w:val="22"/>
          <w:lang w:val="fr-CH" w:eastAsia="ja-JP"/>
        </w:rPr>
        <w:t>Pour des photos supplémentaires / en haute résolution, veuillez contacter la personne de contact.</w:t>
      </w:r>
    </w:p>
    <w:sectPr w:rsidR="0090274B" w:rsidRPr="00871B32" w:rsidSect="008C3DB7">
      <w:footerReference w:type="default" r:id="rId15"/>
      <w:headerReference w:type="first" r:id="rId16"/>
      <w:footerReference w:type="first" r:id="rId17"/>
      <w:pgSz w:w="11900" w:h="16840"/>
      <w:pgMar w:top="1491" w:right="1418" w:bottom="1134" w:left="1418"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A9506" w14:textId="77777777" w:rsidR="00FC157E" w:rsidRDefault="00FC157E">
      <w:r>
        <w:separator/>
      </w:r>
    </w:p>
  </w:endnote>
  <w:endnote w:type="continuationSeparator" w:id="0">
    <w:p w14:paraId="298F0900" w14:textId="77777777" w:rsidR="00FC157E" w:rsidRDefault="00FC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rporateSBQ-Regular">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F1F6" w14:textId="77777777" w:rsidR="0090274B" w:rsidRPr="00A83EDF"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w:t>
    </w:r>
  </w:p>
  <w:p w14:paraId="687F5D15"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031 306 92 50</w:t>
    </w:r>
  </w:p>
  <w:p w14:paraId="7922CBFD"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46F88F30" w14:textId="77777777" w:rsidR="001E121A" w:rsidRPr="0006723E" w:rsidRDefault="0090274B" w:rsidP="0090274B">
    <w:pPr>
      <w:pStyle w:val="Fuzeile"/>
      <w:tabs>
        <w:tab w:val="clear" w:pos="4536"/>
        <w:tab w:val="center" w:pos="5103"/>
      </w:tabs>
      <w:rPr>
        <w:lang w:val="it-CH"/>
      </w:rPr>
    </w:pPr>
    <w:r>
      <w:rPr>
        <w:noProof/>
      </w:rPr>
      <w:drawing>
        <wp:anchor distT="0" distB="0" distL="114300" distR="114300" simplePos="0" relativeHeight="251661824" behindDoc="0" locked="0" layoutInCell="1" allowOverlap="1" wp14:anchorId="4DD4AF15" wp14:editId="01A72833">
          <wp:simplePos x="0" y="0"/>
          <wp:positionH relativeFrom="margin">
            <wp:posOffset>3207817</wp:posOffset>
          </wp:positionH>
          <wp:positionV relativeFrom="margin">
            <wp:posOffset>8988425</wp:posOffset>
          </wp:positionV>
          <wp:extent cx="1634400" cy="349095"/>
          <wp:effectExtent l="0" t="0" r="0"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11E6119" wp14:editId="057FB58E">
          <wp:simplePos x="0" y="0"/>
          <wp:positionH relativeFrom="margin">
            <wp:posOffset>803110</wp:posOffset>
          </wp:positionH>
          <wp:positionV relativeFrom="margin">
            <wp:posOffset>18830142</wp:posOffset>
          </wp:positionV>
          <wp:extent cx="1633855" cy="34861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385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44E8" w14:textId="77777777" w:rsidR="001B43B3" w:rsidRPr="00A83EDF" w:rsidRDefault="009B5602" w:rsidP="00A40EBD">
    <w:pPr>
      <w:pStyle w:val="Slogan"/>
      <w:framePr w:w="4793" w:h="1195" w:hRule="exact" w:wrap="notBeside" w:x="1347"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006F63AF" w:rsidRPr="00A83EDF">
      <w:rPr>
        <w:rFonts w:ascii="CorporateSBQ-Regular" w:hAnsi="CorporateSBQ-Regular"/>
        <w:i w:val="0"/>
        <w:color w:val="686F79"/>
        <w:sz w:val="17"/>
        <w:szCs w:val="17"/>
      </w:rPr>
      <w:t>Laupenstrasse</w:t>
    </w:r>
    <w:proofErr w:type="spellEnd"/>
    <w:r w:rsidR="006F63AF" w:rsidRPr="00A83EDF">
      <w:rPr>
        <w:rFonts w:ascii="CorporateSBQ-Regular" w:hAnsi="CorporateSBQ-Regular"/>
        <w:i w:val="0"/>
        <w:color w:val="686F79"/>
        <w:sz w:val="17"/>
        <w:szCs w:val="17"/>
      </w:rPr>
      <w:t xml:space="preserve"> 7, Postfach</w:t>
    </w:r>
    <w:r w:rsidR="001B43B3" w:rsidRPr="00A83EDF">
      <w:rPr>
        <w:rFonts w:ascii="CorporateSBQ-Regular" w:hAnsi="CorporateSBQ-Regular"/>
        <w:i w:val="0"/>
        <w:color w:val="686F79"/>
        <w:sz w:val="17"/>
        <w:szCs w:val="17"/>
      </w:rPr>
      <w:t xml:space="preserve">, 3001 Bern </w:t>
    </w:r>
  </w:p>
  <w:p w14:paraId="28E23A98"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w:t>
    </w:r>
    <w:r w:rsidR="006F63AF" w:rsidRPr="0006723E">
      <w:rPr>
        <w:rFonts w:ascii="CorporateSBQ-Regular" w:hAnsi="CorporateSBQ-Regular"/>
        <w:i w:val="0"/>
        <w:color w:val="686F79"/>
        <w:sz w:val="17"/>
        <w:szCs w:val="17"/>
        <w:lang w:val="it-CH"/>
      </w:rPr>
      <w:t xml:space="preserve">31 </w:t>
    </w:r>
    <w:r w:rsidR="003E7FB5" w:rsidRPr="0006723E">
      <w:rPr>
        <w:rFonts w:ascii="CorporateSBQ-Regular" w:hAnsi="CorporateSBQ-Regular"/>
        <w:i w:val="0"/>
        <w:color w:val="686F79"/>
        <w:sz w:val="17"/>
        <w:szCs w:val="17"/>
        <w:lang w:val="it-CH"/>
      </w:rPr>
      <w:t>306 92 50</w:t>
    </w:r>
  </w:p>
  <w:p w14:paraId="09EEA98C"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23EB088C" w14:textId="77777777" w:rsidR="001E121A" w:rsidRPr="0075084D" w:rsidRDefault="0090274B" w:rsidP="00A83EDF">
    <w:pPr>
      <w:pStyle w:val="Fuzeile"/>
      <w:tabs>
        <w:tab w:val="clear" w:pos="4536"/>
        <w:tab w:val="center" w:pos="5103"/>
      </w:tabs>
      <w:jc w:val="center"/>
      <w:rPr>
        <w:color w:val="262626"/>
      </w:rPr>
    </w:pPr>
    <w:r>
      <w:rPr>
        <w:noProof/>
      </w:rPr>
      <w:drawing>
        <wp:anchor distT="0" distB="0" distL="114300" distR="114300" simplePos="0" relativeHeight="251657728" behindDoc="0" locked="0" layoutInCell="1" allowOverlap="1" wp14:anchorId="5497D99A" wp14:editId="6083DEBB">
          <wp:simplePos x="0" y="0"/>
          <wp:positionH relativeFrom="margin">
            <wp:posOffset>3225513</wp:posOffset>
          </wp:positionH>
          <wp:positionV relativeFrom="margin">
            <wp:posOffset>8239760</wp:posOffset>
          </wp:positionV>
          <wp:extent cx="1634400" cy="349095"/>
          <wp:effectExtent l="0" t="0" r="0" b="0"/>
          <wp:wrapSquare wrapText="bothSides"/>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297B7" w14:textId="77777777" w:rsidR="00FC157E" w:rsidRDefault="00FC157E">
      <w:r>
        <w:separator/>
      </w:r>
    </w:p>
  </w:footnote>
  <w:footnote w:type="continuationSeparator" w:id="0">
    <w:p w14:paraId="5C7740DE" w14:textId="77777777" w:rsidR="00FC157E" w:rsidRDefault="00FC1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7F58" w14:textId="77777777" w:rsidR="001E121A" w:rsidRDefault="0090274B" w:rsidP="0090274B">
    <w:pPr>
      <w:pStyle w:val="Kopfzeile"/>
      <w:tabs>
        <w:tab w:val="clear" w:pos="9072"/>
        <w:tab w:val="left" w:pos="7655"/>
        <w:tab w:val="right" w:pos="8080"/>
      </w:tabs>
      <w:ind w:right="-575"/>
    </w:pPr>
    <w:r>
      <w:rPr>
        <w:noProof/>
      </w:rPr>
      <w:drawing>
        <wp:inline distT="0" distB="0" distL="0" distR="0" wp14:anchorId="0F64C848" wp14:editId="286419E7">
          <wp:extent cx="1318004" cy="1140178"/>
          <wp:effectExtent l="0" t="0" r="3175" b="317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
                  <a:stretch>
                    <a:fillRect/>
                  </a:stretch>
                </pic:blipFill>
                <pic:spPr>
                  <a:xfrm>
                    <a:off x="0" y="0"/>
                    <a:ext cx="1335826" cy="1155596"/>
                  </a:xfrm>
                  <a:prstGeom prst="rect">
                    <a:avLst/>
                  </a:prstGeom>
                </pic:spPr>
              </pic:pic>
            </a:graphicData>
          </a:graphic>
        </wp:inline>
      </w:drawing>
    </w:r>
    <w:r>
      <w:rPr>
        <w:noProof/>
      </w:rPr>
      <w:drawing>
        <wp:inline distT="0" distB="0" distL="0" distR="0" wp14:anchorId="23427FC7" wp14:editId="4CCEC9B0">
          <wp:extent cx="4710926" cy="922020"/>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stretch>
                    <a:fillRect/>
                  </a:stretch>
                </pic:blipFill>
                <pic:spPr>
                  <a:xfrm>
                    <a:off x="0" y="0"/>
                    <a:ext cx="4767055" cy="933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323A7"/>
    <w:multiLevelType w:val="multilevel"/>
    <w:tmpl w:val="0418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5E289D"/>
    <w:multiLevelType w:val="hybridMultilevel"/>
    <w:tmpl w:val="8D84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A53CFB"/>
    <w:multiLevelType w:val="hybridMultilevel"/>
    <w:tmpl w:val="6BD09C56"/>
    <w:lvl w:ilvl="0" w:tplc="00010407">
      <w:start w:val="1"/>
      <w:numFmt w:val="bullet"/>
      <w:lvlText w:val=""/>
      <w:lvlJc w:val="left"/>
      <w:pPr>
        <w:tabs>
          <w:tab w:val="num" w:pos="1080"/>
        </w:tabs>
        <w:ind w:left="108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6212D69"/>
    <w:multiLevelType w:val="hybridMultilevel"/>
    <w:tmpl w:val="83CED68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F2C1A9A"/>
    <w:multiLevelType w:val="hybridMultilevel"/>
    <w:tmpl w:val="A48C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E71541"/>
    <w:multiLevelType w:val="hybridMultilevel"/>
    <w:tmpl w:val="11E03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55"/>
    <w:rsid w:val="0006723E"/>
    <w:rsid w:val="00071CB9"/>
    <w:rsid w:val="00087ADC"/>
    <w:rsid w:val="000C0208"/>
    <w:rsid w:val="00144529"/>
    <w:rsid w:val="00165F8E"/>
    <w:rsid w:val="001809C4"/>
    <w:rsid w:val="00197D91"/>
    <w:rsid w:val="001A3069"/>
    <w:rsid w:val="001B43B3"/>
    <w:rsid w:val="001C5CE9"/>
    <w:rsid w:val="001C6D9E"/>
    <w:rsid w:val="001E121A"/>
    <w:rsid w:val="00203015"/>
    <w:rsid w:val="00242C17"/>
    <w:rsid w:val="00281A33"/>
    <w:rsid w:val="0028279B"/>
    <w:rsid w:val="00307A61"/>
    <w:rsid w:val="00344876"/>
    <w:rsid w:val="00357C67"/>
    <w:rsid w:val="0038772D"/>
    <w:rsid w:val="00392911"/>
    <w:rsid w:val="0039425A"/>
    <w:rsid w:val="003E7FB5"/>
    <w:rsid w:val="004236BB"/>
    <w:rsid w:val="00451F13"/>
    <w:rsid w:val="0050581E"/>
    <w:rsid w:val="00543EC4"/>
    <w:rsid w:val="005C0DAA"/>
    <w:rsid w:val="0066228D"/>
    <w:rsid w:val="006B034A"/>
    <w:rsid w:val="006B7287"/>
    <w:rsid w:val="006F63AF"/>
    <w:rsid w:val="00713796"/>
    <w:rsid w:val="0072013A"/>
    <w:rsid w:val="007354C0"/>
    <w:rsid w:val="0075084D"/>
    <w:rsid w:val="007575CD"/>
    <w:rsid w:val="00761C4C"/>
    <w:rsid w:val="00871307"/>
    <w:rsid w:val="00871B32"/>
    <w:rsid w:val="008C3DB7"/>
    <w:rsid w:val="008D02AB"/>
    <w:rsid w:val="008E2360"/>
    <w:rsid w:val="0090274B"/>
    <w:rsid w:val="009343D3"/>
    <w:rsid w:val="00961669"/>
    <w:rsid w:val="009A148B"/>
    <w:rsid w:val="009B5602"/>
    <w:rsid w:val="009D2A79"/>
    <w:rsid w:val="009E4B65"/>
    <w:rsid w:val="00A20D8A"/>
    <w:rsid w:val="00A22735"/>
    <w:rsid w:val="00A40EBD"/>
    <w:rsid w:val="00A83EDF"/>
    <w:rsid w:val="00AE771F"/>
    <w:rsid w:val="00B6309C"/>
    <w:rsid w:val="00B9755C"/>
    <w:rsid w:val="00C93027"/>
    <w:rsid w:val="00C96E15"/>
    <w:rsid w:val="00D05BCE"/>
    <w:rsid w:val="00D72DDD"/>
    <w:rsid w:val="00DC49F6"/>
    <w:rsid w:val="00DD1FD3"/>
    <w:rsid w:val="00E139B5"/>
    <w:rsid w:val="00EA3B00"/>
    <w:rsid w:val="00ED4E55"/>
    <w:rsid w:val="00EE2014"/>
    <w:rsid w:val="00EE691D"/>
    <w:rsid w:val="00FB5001"/>
    <w:rsid w:val="00FC157E"/>
    <w:rsid w:val="00FC16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A62AE8"/>
  <w14:defaultImageDpi w14:val="300"/>
  <w15:docId w15:val="{EDD5F044-8B76-8340-A6DA-90E41DE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D4E55"/>
    <w:rPr>
      <w:rFonts w:ascii="Helvetica Neue" w:eastAsiaTheme="minorHAnsi" w:hAnsi="Helvetica Neue" w:cstheme="minorBidi"/>
      <w:sz w:val="21"/>
      <w:szCs w:val="24"/>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E84937"/>
  </w:style>
  <w:style w:type="character" w:styleId="Funotenzeichen">
    <w:name w:val="footnote reference"/>
    <w:semiHidden/>
    <w:rsid w:val="00E84937"/>
    <w:rPr>
      <w:vertAlign w:val="superscript"/>
    </w:rPr>
  </w:style>
  <w:style w:type="paragraph" w:styleId="Sprechblasentext">
    <w:name w:val="Balloon Text"/>
    <w:basedOn w:val="Standard"/>
    <w:semiHidden/>
    <w:rsid w:val="0073519F"/>
    <w:rPr>
      <w:rFonts w:ascii="Lucida Grande" w:hAnsi="Lucida Grande"/>
      <w:sz w:val="18"/>
      <w:szCs w:val="18"/>
    </w:rPr>
  </w:style>
  <w:style w:type="paragraph" w:styleId="Kopfzeile">
    <w:name w:val="header"/>
    <w:basedOn w:val="Standard"/>
    <w:rsid w:val="00E00E42"/>
    <w:pPr>
      <w:tabs>
        <w:tab w:val="center" w:pos="4536"/>
        <w:tab w:val="right" w:pos="9072"/>
      </w:tabs>
    </w:pPr>
  </w:style>
  <w:style w:type="paragraph" w:styleId="Fuzeile">
    <w:name w:val="footer"/>
    <w:basedOn w:val="Standard"/>
    <w:semiHidden/>
    <w:rsid w:val="00E00E42"/>
    <w:pPr>
      <w:tabs>
        <w:tab w:val="center" w:pos="4536"/>
        <w:tab w:val="right" w:pos="9072"/>
      </w:tabs>
    </w:pPr>
  </w:style>
  <w:style w:type="paragraph" w:customStyle="1" w:styleId="Slogan">
    <w:name w:val="Slogan"/>
    <w:basedOn w:val="Standard"/>
    <w:rsid w:val="001B43B3"/>
    <w:pPr>
      <w:framePr w:w="5171" w:h="1191" w:hRule="exact" w:hSpace="187" w:vSpace="187" w:wrap="auto" w:vAnchor="page" w:hAnchor="page" w:x="965" w:yAlign="bottom" w:anchorLock="1"/>
      <w:autoSpaceDE w:val="0"/>
      <w:autoSpaceDN w:val="0"/>
    </w:pPr>
    <w:rPr>
      <w:rFonts w:ascii="Geneva" w:hAnsi="Geneva"/>
      <w:i/>
      <w:spacing w:val="-6"/>
    </w:rPr>
  </w:style>
  <w:style w:type="character" w:styleId="Hyperlink">
    <w:name w:val="Hyperlink"/>
    <w:uiPriority w:val="99"/>
    <w:unhideWhenUsed/>
    <w:rsid w:val="001B43B3"/>
    <w:rPr>
      <w:color w:val="0000FF"/>
      <w:u w:val="single"/>
    </w:rPr>
  </w:style>
  <w:style w:type="paragraph" w:styleId="Listenabsatz">
    <w:name w:val="List Paragraph"/>
    <w:basedOn w:val="Standard"/>
    <w:uiPriority w:val="34"/>
    <w:qFormat/>
    <w:rsid w:val="00B9755C"/>
    <w:pPr>
      <w:ind w:left="720"/>
      <w:contextualSpacing/>
    </w:pPr>
    <w:rPr>
      <w:rFonts w:ascii="Helvetica" w:eastAsia="MS Mincho" w:hAnsi="Helvetica"/>
    </w:rPr>
  </w:style>
  <w:style w:type="character" w:styleId="BesuchterLink">
    <w:name w:val="FollowedHyperlink"/>
    <w:basedOn w:val="Absatz-Standardschriftart"/>
    <w:uiPriority w:val="99"/>
    <w:semiHidden/>
    <w:unhideWhenUsed/>
    <w:rsid w:val="00ED4E55"/>
    <w:rPr>
      <w:color w:val="954F72" w:themeColor="followedHyperlink"/>
      <w:u w:val="single"/>
    </w:rPr>
  </w:style>
  <w:style w:type="character" w:styleId="NichtaufgelsteErwhnung">
    <w:name w:val="Unresolved Mention"/>
    <w:basedOn w:val="Absatz-Standardschriftart"/>
    <w:uiPriority w:val="99"/>
    <w:rsid w:val="00961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5403">
      <w:bodyDiv w:val="1"/>
      <w:marLeft w:val="0"/>
      <w:marRight w:val="0"/>
      <w:marTop w:val="0"/>
      <w:marBottom w:val="0"/>
      <w:divBdr>
        <w:top w:val="none" w:sz="0" w:space="0" w:color="auto"/>
        <w:left w:val="none" w:sz="0" w:space="0" w:color="auto"/>
        <w:bottom w:val="none" w:sz="0" w:space="0" w:color="auto"/>
        <w:right w:val="none" w:sz="0" w:space="0" w:color="auto"/>
      </w:divBdr>
    </w:div>
    <w:div w:id="57167391">
      <w:bodyDiv w:val="1"/>
      <w:marLeft w:val="0"/>
      <w:marRight w:val="0"/>
      <w:marTop w:val="0"/>
      <w:marBottom w:val="0"/>
      <w:divBdr>
        <w:top w:val="none" w:sz="0" w:space="0" w:color="auto"/>
        <w:left w:val="none" w:sz="0" w:space="0" w:color="auto"/>
        <w:bottom w:val="none" w:sz="0" w:space="0" w:color="auto"/>
        <w:right w:val="none" w:sz="0" w:space="0" w:color="auto"/>
      </w:divBdr>
    </w:div>
    <w:div w:id="128672177">
      <w:bodyDiv w:val="1"/>
      <w:marLeft w:val="0"/>
      <w:marRight w:val="0"/>
      <w:marTop w:val="0"/>
      <w:marBottom w:val="0"/>
      <w:divBdr>
        <w:top w:val="none" w:sz="0" w:space="0" w:color="auto"/>
        <w:left w:val="none" w:sz="0" w:space="0" w:color="auto"/>
        <w:bottom w:val="none" w:sz="0" w:space="0" w:color="auto"/>
        <w:right w:val="none" w:sz="0" w:space="0" w:color="auto"/>
      </w:divBdr>
    </w:div>
    <w:div w:id="247232967">
      <w:bodyDiv w:val="1"/>
      <w:marLeft w:val="0"/>
      <w:marRight w:val="0"/>
      <w:marTop w:val="0"/>
      <w:marBottom w:val="0"/>
      <w:divBdr>
        <w:top w:val="none" w:sz="0" w:space="0" w:color="auto"/>
        <w:left w:val="none" w:sz="0" w:space="0" w:color="auto"/>
        <w:bottom w:val="none" w:sz="0" w:space="0" w:color="auto"/>
        <w:right w:val="none" w:sz="0" w:space="0" w:color="auto"/>
      </w:divBdr>
    </w:div>
    <w:div w:id="326593993">
      <w:bodyDiv w:val="1"/>
      <w:marLeft w:val="0"/>
      <w:marRight w:val="0"/>
      <w:marTop w:val="0"/>
      <w:marBottom w:val="0"/>
      <w:divBdr>
        <w:top w:val="none" w:sz="0" w:space="0" w:color="auto"/>
        <w:left w:val="none" w:sz="0" w:space="0" w:color="auto"/>
        <w:bottom w:val="none" w:sz="0" w:space="0" w:color="auto"/>
        <w:right w:val="none" w:sz="0" w:space="0" w:color="auto"/>
      </w:divBdr>
    </w:div>
    <w:div w:id="365562113">
      <w:bodyDiv w:val="1"/>
      <w:marLeft w:val="0"/>
      <w:marRight w:val="0"/>
      <w:marTop w:val="0"/>
      <w:marBottom w:val="0"/>
      <w:divBdr>
        <w:top w:val="none" w:sz="0" w:space="0" w:color="auto"/>
        <w:left w:val="none" w:sz="0" w:space="0" w:color="auto"/>
        <w:bottom w:val="none" w:sz="0" w:space="0" w:color="auto"/>
        <w:right w:val="none" w:sz="0" w:space="0" w:color="auto"/>
      </w:divBdr>
    </w:div>
    <w:div w:id="448401958">
      <w:bodyDiv w:val="1"/>
      <w:marLeft w:val="0"/>
      <w:marRight w:val="0"/>
      <w:marTop w:val="0"/>
      <w:marBottom w:val="0"/>
      <w:divBdr>
        <w:top w:val="none" w:sz="0" w:space="0" w:color="auto"/>
        <w:left w:val="none" w:sz="0" w:space="0" w:color="auto"/>
        <w:bottom w:val="none" w:sz="0" w:space="0" w:color="auto"/>
        <w:right w:val="none" w:sz="0" w:space="0" w:color="auto"/>
      </w:divBdr>
    </w:div>
    <w:div w:id="560753298">
      <w:bodyDiv w:val="1"/>
      <w:marLeft w:val="0"/>
      <w:marRight w:val="0"/>
      <w:marTop w:val="0"/>
      <w:marBottom w:val="0"/>
      <w:divBdr>
        <w:top w:val="none" w:sz="0" w:space="0" w:color="auto"/>
        <w:left w:val="none" w:sz="0" w:space="0" w:color="auto"/>
        <w:bottom w:val="none" w:sz="0" w:space="0" w:color="auto"/>
        <w:right w:val="none" w:sz="0" w:space="0" w:color="auto"/>
      </w:divBdr>
    </w:div>
    <w:div w:id="908879445">
      <w:bodyDiv w:val="1"/>
      <w:marLeft w:val="0"/>
      <w:marRight w:val="0"/>
      <w:marTop w:val="0"/>
      <w:marBottom w:val="0"/>
      <w:divBdr>
        <w:top w:val="none" w:sz="0" w:space="0" w:color="auto"/>
        <w:left w:val="none" w:sz="0" w:space="0" w:color="auto"/>
        <w:bottom w:val="none" w:sz="0" w:space="0" w:color="auto"/>
        <w:right w:val="none" w:sz="0" w:space="0" w:color="auto"/>
      </w:divBdr>
    </w:div>
    <w:div w:id="1026951189">
      <w:bodyDiv w:val="1"/>
      <w:marLeft w:val="0"/>
      <w:marRight w:val="0"/>
      <w:marTop w:val="0"/>
      <w:marBottom w:val="0"/>
      <w:divBdr>
        <w:top w:val="none" w:sz="0" w:space="0" w:color="auto"/>
        <w:left w:val="none" w:sz="0" w:space="0" w:color="auto"/>
        <w:bottom w:val="none" w:sz="0" w:space="0" w:color="auto"/>
        <w:right w:val="none" w:sz="0" w:space="0" w:color="auto"/>
      </w:divBdr>
    </w:div>
    <w:div w:id="1032732357">
      <w:bodyDiv w:val="1"/>
      <w:marLeft w:val="0"/>
      <w:marRight w:val="0"/>
      <w:marTop w:val="0"/>
      <w:marBottom w:val="0"/>
      <w:divBdr>
        <w:top w:val="none" w:sz="0" w:space="0" w:color="auto"/>
        <w:left w:val="none" w:sz="0" w:space="0" w:color="auto"/>
        <w:bottom w:val="none" w:sz="0" w:space="0" w:color="auto"/>
        <w:right w:val="none" w:sz="0" w:space="0" w:color="auto"/>
      </w:divBdr>
    </w:div>
    <w:div w:id="1497570896">
      <w:bodyDiv w:val="1"/>
      <w:marLeft w:val="0"/>
      <w:marRight w:val="0"/>
      <w:marTop w:val="0"/>
      <w:marBottom w:val="0"/>
      <w:divBdr>
        <w:top w:val="none" w:sz="0" w:space="0" w:color="auto"/>
        <w:left w:val="none" w:sz="0" w:space="0" w:color="auto"/>
        <w:bottom w:val="none" w:sz="0" w:space="0" w:color="auto"/>
        <w:right w:val="none" w:sz="0" w:space="0" w:color="auto"/>
      </w:divBdr>
    </w:div>
    <w:div w:id="1761289032">
      <w:bodyDiv w:val="1"/>
      <w:marLeft w:val="0"/>
      <w:marRight w:val="0"/>
      <w:marTop w:val="0"/>
      <w:marBottom w:val="0"/>
      <w:divBdr>
        <w:top w:val="none" w:sz="0" w:space="0" w:color="auto"/>
        <w:left w:val="none" w:sz="0" w:space="0" w:color="auto"/>
        <w:bottom w:val="none" w:sz="0" w:space="0" w:color="auto"/>
        <w:right w:val="none" w:sz="0" w:space="0" w:color="auto"/>
      </w:divBdr>
    </w:div>
    <w:div w:id="1814371384">
      <w:bodyDiv w:val="1"/>
      <w:marLeft w:val="0"/>
      <w:marRight w:val="0"/>
      <w:marTop w:val="0"/>
      <w:marBottom w:val="0"/>
      <w:divBdr>
        <w:top w:val="none" w:sz="0" w:space="0" w:color="auto"/>
        <w:left w:val="none" w:sz="0" w:space="0" w:color="auto"/>
        <w:bottom w:val="none" w:sz="0" w:space="0" w:color="auto"/>
        <w:right w:val="none" w:sz="0" w:space="0" w:color="auto"/>
      </w:divBdr>
    </w:div>
    <w:div w:id="1837113184">
      <w:bodyDiv w:val="1"/>
      <w:marLeft w:val="0"/>
      <w:marRight w:val="0"/>
      <w:marTop w:val="0"/>
      <w:marBottom w:val="0"/>
      <w:divBdr>
        <w:top w:val="none" w:sz="0" w:space="0" w:color="auto"/>
        <w:left w:val="none" w:sz="0" w:space="0" w:color="auto"/>
        <w:bottom w:val="none" w:sz="0" w:space="0" w:color="auto"/>
        <w:right w:val="none" w:sz="0" w:space="0" w:color="auto"/>
      </w:divBdr>
    </w:div>
    <w:div w:id="1918055025">
      <w:bodyDiv w:val="1"/>
      <w:marLeft w:val="0"/>
      <w:marRight w:val="0"/>
      <w:marTop w:val="0"/>
      <w:marBottom w:val="0"/>
      <w:divBdr>
        <w:top w:val="none" w:sz="0" w:space="0" w:color="auto"/>
        <w:left w:val="none" w:sz="0" w:space="0" w:color="auto"/>
        <w:bottom w:val="none" w:sz="0" w:space="0" w:color="auto"/>
        <w:right w:val="none" w:sz="0" w:space="0" w:color="auto"/>
      </w:divBdr>
    </w:div>
    <w:div w:id="1948536106">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berger@sagw.ch?subject=Nachwuchspreis%202021" TargetMode="External"/><Relationship Id="rId13" Type="http://schemas.openxmlformats.org/officeDocument/2006/relationships/hyperlink" Target="https://sagw.ch/fr/assh/encouragement/prix-de-la-relev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7/eso.2020.2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63/15718166-1234007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5167/uzh-18265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gw.ch/fr/assh/encouragement/prix-de-la-releve/laureates-des-precedentes-editions/prix-de-la-releve-de-lassh-2021/" TargetMode="External"/><Relationship Id="rId14" Type="http://schemas.openxmlformats.org/officeDocument/2006/relationships/hyperlink" Target="https://sagw.ch/fr/assh/actualites/news/details/news/98-kandidaturen-im-rennen-um-den-nachwuchspreis-der-sagw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GW-Common/1_SOP/Vorlagen/Briefe/75_Vorlage_Brief_Mit_Log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168A-3E5A-B449-AA0C-9A44DE10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75_Vorlage_Brief_Mit_Logo.dotx</Template>
  <TotalTime>0</TotalTime>
  <Pages>3</Pages>
  <Words>1862</Words>
  <Characters>8848</Characters>
  <Application>Microsoft Office Word</Application>
  <DocSecurity>0</DocSecurity>
  <Lines>132</Lines>
  <Paragraphs>15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Universität Bern</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Christina Graf</cp:lastModifiedBy>
  <cp:revision>3</cp:revision>
  <cp:lastPrinted>2021-03-01T09:47:00Z</cp:lastPrinted>
  <dcterms:created xsi:type="dcterms:W3CDTF">2021-05-28T13:50:00Z</dcterms:created>
  <dcterms:modified xsi:type="dcterms:W3CDTF">2021-05-28T13:51:00Z</dcterms:modified>
</cp:coreProperties>
</file>